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word/_rels/foot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left" w:pos="851" w:leader="none"/>
        </w:tabs>
        <w:spacing w:lineRule="auto" w:line="276" w:before="0" w:after="120"/>
        <w:jc w:val="center"/>
        <w:rPr/>
      </w:pPr>
      <w:r>
        <w:rPr>
          <w:rFonts w:cs="Arial" w:ascii="Arial" w:hAnsi="Arial"/>
          <w:b/>
          <w:sz w:val="28"/>
          <w:szCs w:val="28"/>
        </w:rPr>
        <w:t>TERMO DE REFERÊNCIA</w:t>
      </w:r>
    </w:p>
    <w:p>
      <w:pPr>
        <w:pStyle w:val="Normal"/>
        <w:tabs>
          <w:tab w:val="left" w:pos="851" w:leader="none"/>
        </w:tabs>
        <w:spacing w:lineRule="auto" w:line="276" w:before="0" w:after="120"/>
        <w:jc w:val="center"/>
        <w:rPr>
          <w:rFonts w:ascii="Arial" w:hAnsi="Arial" w:cs="Arial"/>
          <w:b/>
          <w:b/>
          <w:sz w:val="28"/>
          <w:szCs w:val="28"/>
        </w:rPr>
      </w:pPr>
      <w:r>
        <w:rPr>
          <w:rFonts w:cs="Arial" w:ascii="Arial" w:hAnsi="Arial"/>
          <w:b/>
          <w:sz w:val="28"/>
          <w:szCs w:val="28"/>
        </w:rPr>
      </w:r>
    </w:p>
    <w:tbl>
      <w:tblPr>
        <w:tblW w:w="9214" w:type="dxa"/>
        <w:jc w:val="left"/>
        <w:tblInd w:w="3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33" w:type="dxa"/>
          <w:bottom w:w="0" w:type="dxa"/>
          <w:right w:w="108" w:type="dxa"/>
        </w:tblCellMar>
        <w:tblLook w:firstRow="1" w:noVBand="1" w:lastRow="0" w:firstColumn="1" w:lastColumn="0" w:noHBand="0" w:val="04a0"/>
      </w:tblPr>
      <w:tblGrid>
        <w:gridCol w:w="9214"/>
      </w:tblGrid>
      <w:tr>
        <w:trPr>
          <w:trHeight w:val="682" w:hRule="atLeast"/>
        </w:trPr>
        <w:tc>
          <w:tcPr>
            <w:tcW w:w="921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33" w:type="dxa"/>
            </w:tcMar>
            <w:vAlign w:val="center"/>
          </w:tcPr>
          <w:p>
            <w:pPr>
              <w:pStyle w:val="Normal"/>
              <w:tabs>
                <w:tab w:val="left" w:pos="851" w:leader="none"/>
              </w:tabs>
              <w:spacing w:lineRule="auto" w:line="276" w:before="0" w:after="120"/>
              <w:jc w:val="center"/>
              <w:rPr/>
            </w:pPr>
            <w:r>
              <w:rPr>
                <w:rFonts w:cs="Arial" w:ascii="Arial" w:hAnsi="Arial"/>
                <w:b/>
                <w:color w:val="000000"/>
                <w:sz w:val="28"/>
                <w:szCs w:val="28"/>
              </w:rPr>
              <w:t>CONSTRUÇÃO DA COPA DA BANDA FILARMÔNICA DE ITAJAÍ</w:t>
            </w:r>
          </w:p>
        </w:tc>
      </w:tr>
    </w:tbl>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INTRODUÇÃO.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sz w:val="22"/>
          <w:szCs w:val="22"/>
        </w:rPr>
      </w:pPr>
      <w:r>
        <w:rPr>
          <w:rFonts w:cs="Arial" w:ascii="Arial" w:hAnsi="Arial"/>
          <w:sz w:val="22"/>
          <w:szCs w:val="22"/>
        </w:rPr>
        <w:t xml:space="preserve">O presente documento trata dos procedimentos e orientações necessárias para contratação de empresa através do ato público de concorrência, objetivando a execução de obras de </w:t>
      </w:r>
      <w:r>
        <w:rPr>
          <w:rFonts w:cs="Arial" w:ascii="Arial" w:hAnsi="Arial"/>
          <w:b/>
          <w:color w:val="000000"/>
          <w:sz w:val="22"/>
          <w:szCs w:val="22"/>
        </w:rPr>
        <w:t>CONSTRUÇÃO DA COPA DA BANDA FILARMÔNICA DE ITAJAÍ</w:t>
      </w:r>
      <w:r>
        <w:rPr>
          <w:rFonts w:cs="Arial" w:ascii="Arial" w:hAnsi="Arial"/>
          <w:b/>
          <w:sz w:val="22"/>
          <w:szCs w:val="22"/>
        </w:rPr>
        <w:t xml:space="preserve"> l</w:t>
      </w:r>
      <w:r>
        <w:rPr>
          <w:rFonts w:cs="Arial" w:ascii="Arial" w:hAnsi="Arial"/>
          <w:sz w:val="22"/>
          <w:szCs w:val="22"/>
        </w:rPr>
        <w:t>ocalizado na Rua Antonio Carlos P Leao, 456, São Vicente - São Vicente, Itajaí – SC.</w:t>
      </w:r>
    </w:p>
    <w:tbl>
      <w:tblPr>
        <w:tblW w:w="7282" w:type="dxa"/>
        <w:jc w:val="center"/>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22" w:type="dxa"/>
          <w:bottom w:w="0" w:type="dxa"/>
          <w:right w:w="108" w:type="dxa"/>
        </w:tblCellMar>
        <w:tblLook w:firstRow="1" w:noVBand="1" w:lastRow="0" w:firstColumn="1" w:lastColumn="0" w:noHBand="0" w:val="04a0"/>
      </w:tblPr>
      <w:tblGrid>
        <w:gridCol w:w="4766"/>
        <w:gridCol w:w="2515"/>
      </w:tblGrid>
      <w:tr>
        <w:trPr>
          <w:trHeight w:val="399" w:hRule="atLeast"/>
        </w:trPr>
        <w:tc>
          <w:tcPr>
            <w:tcW w:w="7281" w:type="dxa"/>
            <w:gridSpan w:val="2"/>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center"/>
              <w:rPr/>
            </w:pPr>
            <w:r>
              <w:rPr>
                <w:rFonts w:cs="Arial" w:ascii="Arial" w:hAnsi="Arial"/>
                <w:b/>
                <w:bCs/>
                <w:sz w:val="22"/>
                <w:szCs w:val="22"/>
              </w:rPr>
              <w:t>QUADRO DE ÁREAS</w:t>
            </w:r>
          </w:p>
        </w:tc>
      </w:tr>
      <w:tr>
        <w:trPr/>
        <w:tc>
          <w:tcPr>
            <w:tcW w:w="4766"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Área a construir</w:t>
            </w:r>
          </w:p>
        </w:tc>
        <w:tc>
          <w:tcPr>
            <w:tcW w:w="2515" w:type="dxa"/>
            <w:tc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cBorders>
            <w:shd w:color="000000" w:fill="FFFFFF" w:val="pct20"/>
            <w:tcMar>
              <w:left w:w="-22" w:type="dxa"/>
            </w:tcMar>
            <w:vAlign w:val="center"/>
          </w:tcPr>
          <w:p>
            <w:pPr>
              <w:pStyle w:val="Normal"/>
              <w:tabs>
                <w:tab w:val="left" w:pos="851" w:leader="none"/>
              </w:tabs>
              <w:spacing w:lineRule="auto" w:line="276" w:before="0" w:after="120"/>
              <w:jc w:val="both"/>
              <w:rPr/>
            </w:pPr>
            <w:r>
              <w:rPr>
                <w:rFonts w:cs="Arial" w:ascii="Arial" w:hAnsi="Arial"/>
                <w:sz w:val="22"/>
                <w:szCs w:val="22"/>
              </w:rPr>
              <w:t>22,41 m²</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JUSTIFICATIVA.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ind w:firstLine="708"/>
        <w:jc w:val="both"/>
        <w:rPr/>
      </w:pPr>
      <w:r>
        <w:rPr>
          <w:rFonts w:cs="Arial" w:ascii="Arial" w:hAnsi="Arial"/>
          <w:sz w:val="22"/>
          <w:szCs w:val="22"/>
        </w:rPr>
        <w:t xml:space="preserve">A obra em questão se dá pois a unidade ficou desprovida do espaço de copa/cozinha após a divisão do pátio com a EB Anibal César </w:t>
      </w:r>
      <w:r>
        <w:rPr>
          <w:rFonts w:cs="Arial" w:ascii="Arial" w:hAnsi="Arial"/>
          <w:sz w:val="22"/>
          <w:szCs w:val="22"/>
        </w:rPr>
        <w:t>e criação de acesso individualizado para cada uma</w:t>
      </w:r>
      <w:r>
        <w:rPr>
          <w:rFonts w:cs="Arial" w:ascii="Arial" w:hAnsi="Arial"/>
          <w:sz w:val="22"/>
          <w:szCs w:val="22"/>
        </w:rPr>
        <w:t>, visto que a mesma divide o mesmo terreno e usufruía das instalações da escola. Com</w:t>
      </w:r>
      <w:r>
        <w:rPr>
          <w:rFonts w:cs="Arial" w:ascii="Arial" w:hAnsi="Arial"/>
          <w:sz w:val="22"/>
          <w:szCs w:val="22"/>
        </w:rPr>
        <w:t xml:space="preserve"> isto se faz necessário a construção do espaço para atendimento individual de café e alimentação dos usuários.</w:t>
      </w:r>
    </w:p>
    <w:p>
      <w:pPr>
        <w:pStyle w:val="Normal"/>
        <w:tabs>
          <w:tab w:val="left" w:pos="851" w:leader="none"/>
        </w:tabs>
        <w:spacing w:lineRule="auto" w:line="276" w:before="0" w:after="120"/>
        <w:ind w:firstLine="708"/>
        <w:jc w:val="both"/>
        <w:rPr/>
      </w:pPr>
      <w:r>
        <w:rPr>
          <w:rFonts w:cs="Arial" w:ascii="Arial" w:hAnsi="Arial"/>
          <w:sz w:val="22"/>
          <w:szCs w:val="22"/>
        </w:rPr>
        <w:t xml:space="preserve"> </w:t>
      </w:r>
      <w:r>
        <w:rPr>
          <w:rFonts w:cs="Arial" w:ascii="Arial" w:hAnsi="Arial"/>
          <w:sz w:val="22"/>
          <w:szCs w:val="22"/>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pPr>
        <w:pStyle w:val="Normal"/>
        <w:tabs>
          <w:tab w:val="left" w:pos="851" w:leader="none"/>
        </w:tabs>
        <w:spacing w:lineRule="auto" w:line="276" w:before="0" w:after="120"/>
        <w:ind w:firstLine="708"/>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OBJETO.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Esta licitação modalidade </w:t>
      </w:r>
      <w:r>
        <w:rPr>
          <w:rFonts w:cs="Arial" w:ascii="Arial" w:hAnsi="Arial"/>
          <w:b/>
          <w:sz w:val="22"/>
          <w:szCs w:val="22"/>
        </w:rPr>
        <w:t>TOMADA DE PREÇO</w:t>
      </w:r>
      <w:r>
        <w:rPr>
          <w:rFonts w:cs="Arial" w:ascii="Arial" w:hAnsi="Arial"/>
          <w:sz w:val="22"/>
          <w:szCs w:val="22"/>
        </w:rPr>
        <w:t>, tem por objeto a contratação de empresa para:</w:t>
      </w:r>
    </w:p>
    <w:p>
      <w:pPr>
        <w:pStyle w:val="Normal"/>
        <w:widowControl/>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445" w:type="dxa"/>
        <w:jc w:val="left"/>
        <w:tblInd w:w="21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445"/>
      </w:tblGrid>
      <w:tr>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C0C0C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Descrição</w:t>
            </w:r>
          </w:p>
        </w:tc>
      </w:tr>
      <w:tr>
        <w:trPr>
          <w:trHeight w:val="862" w:hRule="atLeast"/>
        </w:trPr>
        <w:tc>
          <w:tcPr>
            <w:tcW w:w="84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color w:val="000000"/>
                <w:sz w:val="24"/>
                <w:szCs w:val="24"/>
              </w:rPr>
              <w:t>CONSTRUÇÃO DA COPA DA BANDA FILARMÔNICA DE ITAJAÍ</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false"/>
          <w:sz w:val="22"/>
          <w:szCs w:val="22"/>
        </w:rPr>
        <w:t>ANEXOS.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Fazem parte integrante e indissociável deste edital:</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Planilha Orçamentária</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Cronograma Físico-Financeiro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Memorial Descritivo</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Projeto e Desenhos Técnicos</w:t>
      </w:r>
    </w:p>
    <w:p>
      <w:pPr>
        <w:pStyle w:val="Normal"/>
        <w:tabs>
          <w:tab w:val="left" w:pos="851" w:leader="none"/>
        </w:tabs>
        <w:spacing w:lineRule="auto" w:line="276"/>
        <w:jc w:val="both"/>
        <w:rPr/>
      </w:pPr>
      <w:r>
        <w:rPr>
          <w:rFonts w:cs="Arial" w:ascii="Arial" w:hAnsi="Arial"/>
          <w:sz w:val="22"/>
          <w:szCs w:val="22"/>
        </w:rPr>
        <w:t>- Modelo Genérico Diário de Obras</w:t>
      </w:r>
    </w:p>
    <w:p>
      <w:pPr>
        <w:pStyle w:val="Normal"/>
        <w:tabs>
          <w:tab w:val="left" w:pos="851" w:leader="none"/>
        </w:tabs>
        <w:spacing w:lineRule="auto" w:line="276"/>
        <w:jc w:val="both"/>
        <w:rPr>
          <w:rFonts w:ascii="Arial" w:hAnsi="Arial" w:cs="Arial"/>
          <w:sz w:val="22"/>
          <w:szCs w:val="22"/>
        </w:rPr>
      </w:pPr>
      <w:r>
        <w:rPr>
          <w:rFonts w:cs="Arial" w:ascii="Arial" w:hAnsi="Arial"/>
          <w:sz w:val="22"/>
          <w:szCs w:val="22"/>
        </w:rPr>
        <w:t>- Modelo Genérico Placa de Obra Municipal</w:t>
      </w:r>
    </w:p>
    <w:p>
      <w:pPr>
        <w:pStyle w:val="Normal"/>
        <w:tabs>
          <w:tab w:val="left" w:pos="851" w:leader="none"/>
          <w:tab w:val="left" w:pos="3418" w:leader="none"/>
        </w:tabs>
        <w:spacing w:lineRule="auto" w:line="276" w:before="0" w:after="120"/>
        <w:jc w:val="both"/>
        <w:rPr>
          <w:rFonts w:ascii="Arial" w:hAnsi="Arial" w:cs="Arial"/>
          <w:sz w:val="22"/>
          <w:szCs w:val="22"/>
        </w:rPr>
      </w:pPr>
      <w:r>
        <w:rPr>
          <w:rFonts w:cs="Arial" w:ascii="Arial" w:hAnsi="Arial"/>
          <w:sz w:val="22"/>
          <w:szCs w:val="22"/>
        </w:rPr>
        <w:tab/>
      </w:r>
    </w:p>
    <w:p>
      <w:pPr>
        <w:pStyle w:val="Ttulo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DOTAÇÃO ORÇAMENTÁRIA.</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color w:val="auto"/>
        </w:rPr>
      </w:pPr>
      <w:r>
        <w:rPr>
          <w:rFonts w:cs="Arial" w:ascii="Arial" w:hAnsi="Arial"/>
          <w:bCs/>
          <w:color w:val="auto"/>
          <w:sz w:val="22"/>
          <w:szCs w:val="22"/>
        </w:rPr>
        <w:t xml:space="preserve">5.1. Os recursos orçamentários necessários à execução do presente objeto, será de </w:t>
      </w:r>
      <w:r>
        <w:rPr>
          <w:rFonts w:cs="Arial" w:ascii="Arial" w:hAnsi="Arial"/>
          <w:b/>
          <w:bCs/>
          <w:color w:val="auto"/>
          <w:sz w:val="22"/>
          <w:szCs w:val="22"/>
        </w:rPr>
        <w:t>R$ R$ 47.</w:t>
      </w:r>
      <w:r>
        <w:rPr>
          <w:rFonts w:cs="Arial" w:ascii="Arial" w:hAnsi="Arial"/>
          <w:b/>
          <w:bCs/>
          <w:color w:val="auto"/>
          <w:sz w:val="22"/>
          <w:szCs w:val="22"/>
        </w:rPr>
        <w:t>526,79</w:t>
      </w:r>
      <w:r>
        <w:rPr>
          <w:rFonts w:cs="Arial" w:ascii="Arial" w:hAnsi="Arial"/>
          <w:b/>
          <w:bCs/>
          <w:color w:val="auto"/>
          <w:sz w:val="22"/>
          <w:szCs w:val="22"/>
        </w:rPr>
        <w:t xml:space="preserve"> </w:t>
      </w:r>
      <w:r>
        <w:rPr>
          <w:rFonts w:cs="Arial" w:ascii="Arial" w:hAnsi="Arial"/>
          <w:bCs/>
          <w:color w:val="auto"/>
          <w:sz w:val="22"/>
          <w:szCs w:val="22"/>
        </w:rPr>
        <w:t xml:space="preserve">(Quarenta e sete mil, </w:t>
      </w:r>
      <w:r>
        <w:rPr>
          <w:rFonts w:cs="Arial" w:ascii="Arial" w:hAnsi="Arial"/>
          <w:bCs/>
          <w:color w:val="auto"/>
          <w:sz w:val="22"/>
          <w:szCs w:val="22"/>
        </w:rPr>
        <w:t>quinhentos e vinte e seis mil, e setenta e nove</w:t>
      </w:r>
      <w:r>
        <w:rPr>
          <w:rFonts w:cs="Arial" w:ascii="Arial" w:hAnsi="Arial"/>
          <w:bCs/>
          <w:color w:val="auto"/>
          <w:sz w:val="22"/>
          <w:szCs w:val="22"/>
        </w:rPr>
        <w:t xml:space="preserve"> centavos)</w:t>
      </w:r>
      <w:r>
        <w:rPr>
          <w:rFonts w:cs="Arial" w:ascii="Arial" w:hAnsi="Arial"/>
          <w:bCs/>
          <w:color w:val="auto"/>
          <w:sz w:val="22"/>
          <w:szCs w:val="22"/>
        </w:rPr>
        <w:t xml:space="preserve">, os quais correrão por conta do exercício orçamentário do ano de 2018 a ser determinada pela Secretaria Municipal de Educação e </w:t>
      </w:r>
      <w:r>
        <w:rPr>
          <w:rFonts w:cs="Arial" w:ascii="Arial" w:hAnsi="Arial"/>
          <w:b/>
          <w:bCs/>
          <w:color w:val="auto"/>
          <w:sz w:val="22"/>
          <w:szCs w:val="22"/>
        </w:rPr>
        <w:t>sendo 100% de Recursos Próprios Municipais</w:t>
      </w:r>
      <w:r>
        <w:rPr>
          <w:rFonts w:cs="Arial" w:ascii="Arial" w:hAnsi="Arial"/>
          <w:bCs/>
          <w:color w:val="auto"/>
          <w:sz w:val="22"/>
          <w:szCs w:val="22"/>
        </w:rPr>
        <w:t>.</w:t>
      </w:r>
    </w:p>
    <w:p>
      <w:pPr>
        <w:pStyle w:val="Normal"/>
        <w:tabs>
          <w:tab w:val="left" w:pos="851" w:leader="none"/>
        </w:tabs>
        <w:spacing w:lineRule="auto" w:line="276" w:before="0" w:after="120"/>
        <w:jc w:val="both"/>
        <w:rPr>
          <w:rFonts w:ascii="Arial" w:hAnsi="Arial" w:cs="Arial"/>
          <w:bCs/>
          <w:color w:val="auto"/>
          <w:sz w:val="22"/>
          <w:szCs w:val="22"/>
        </w:rPr>
      </w:pPr>
      <w:r>
        <w:rPr>
          <w:rFonts w:cs="Arial" w:ascii="Arial" w:hAnsi="Arial"/>
          <w:bCs/>
          <w:color w:val="auto"/>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CONDIÇÕES DE PARTICIPAÇÃO.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cs="Arial" w:ascii="Arial" w:hAnsi="Arial"/>
          <w:b/>
          <w:sz w:val="22"/>
          <w:szCs w:val="22"/>
        </w:rPr>
        <w:t>PROPOSTA DE MENOR PREÇO GLOBAL</w:t>
      </w:r>
      <w:r>
        <w:rPr>
          <w:rFonts w:cs="Arial" w:ascii="Arial" w:hAnsi="Arial"/>
          <w:sz w:val="22"/>
          <w:szCs w:val="22"/>
        </w:rPr>
        <w:t xml:space="preserve"> para o Município de Itajaí conforme </w:t>
      </w:r>
      <w:r>
        <w:rPr>
          <w:rFonts w:cs="Arial" w:ascii="Arial" w:hAnsi="Arial"/>
          <w:b/>
          <w:sz w:val="22"/>
          <w:szCs w:val="22"/>
        </w:rPr>
        <w:t>REGIME DE EMPREITADA POR PREÇO UNITÁRIO</w:t>
      </w:r>
      <w:r>
        <w:rPr>
          <w:rFonts w:cs="Arial" w:ascii="Arial" w:hAnsi="Arial"/>
          <w:bCs/>
          <w:sz w:val="22"/>
          <w:szCs w:val="22"/>
        </w:rPr>
        <w:t>.</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pPr>
        <w:pStyle w:val="Normal"/>
        <w:widowControl/>
        <w:numPr>
          <w:ilvl w:val="1"/>
          <w:numId w:val="1"/>
        </w:numPr>
        <w:tabs>
          <w:tab w:val="left" w:pos="851" w:leader="none"/>
        </w:tabs>
        <w:suppressAutoHyphens w:val="false"/>
        <w:bidi w:val="0"/>
        <w:spacing w:lineRule="auto" w:line="276" w:before="0" w:after="120"/>
        <w:ind w:left="0" w:right="0" w:hanging="0"/>
        <w:jc w:val="both"/>
        <w:rPr/>
      </w:pPr>
      <w:r>
        <w:rPr>
          <w:rFonts w:cs="Arial" w:ascii="Arial" w:hAnsi="Arial"/>
          <w:sz w:val="22"/>
          <w:szCs w:val="22"/>
        </w:rPr>
        <w:t xml:space="preserve">Será permitida a </w:t>
      </w:r>
      <w:r>
        <w:rPr>
          <w:rFonts w:cs="Arial" w:ascii="Arial" w:hAnsi="Arial"/>
          <w:b/>
          <w:sz w:val="22"/>
          <w:szCs w:val="22"/>
        </w:rPr>
        <w:t>SUBCONTRATAÇÃO</w:t>
      </w:r>
      <w:r>
        <w:rPr>
          <w:rFonts w:cs="Arial" w:ascii="Arial" w:hAnsi="Arial"/>
          <w:sz w:val="22"/>
          <w:szCs w:val="22"/>
        </w:rPr>
        <w:t xml:space="preserve"> dos serviços de: Aterro, Infra-Estrutura, Esquadrias, Bancadas e Divisórias, Instalação Elétricas, Hidráulicas e Lógicas, Instalações de Combate e Prevenção de Incêndio,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 proponente deverá comprovar o capital mínimo ou o valor do patrimônio líquido no valor de 10 % do valor da obra, conforme o art. 31 da Lei 8.666/93.</w:t>
      </w:r>
    </w:p>
    <w:p>
      <w:pPr>
        <w:pStyle w:val="Normal"/>
        <w:widowControl/>
        <w:numPr>
          <w:ilvl w:val="1"/>
          <w:numId w:val="1"/>
        </w:numPr>
        <w:tabs>
          <w:tab w:val="left" w:pos="851" w:leader="none"/>
          <w:tab w:val="left" w:pos="1440"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Ficará a cargo da empresa contratada, apresentar posteriormente ao recebimento da </w:t>
      </w:r>
      <w:r>
        <w:rPr>
          <w:rFonts w:cs="Arial" w:ascii="Arial" w:hAnsi="Arial"/>
          <w:b/>
          <w:sz w:val="22"/>
          <w:szCs w:val="22"/>
        </w:rPr>
        <w:t>Ordem de Serviço (O.S.)</w:t>
      </w:r>
      <w:r>
        <w:rPr>
          <w:rFonts w:cs="Arial" w:ascii="Arial" w:hAnsi="Arial"/>
          <w:sz w:val="22"/>
          <w:szCs w:val="22"/>
        </w:rPr>
        <w:t xml:space="preserve"> um </w:t>
      </w:r>
      <w:r>
        <w:rPr>
          <w:rFonts w:cs="Arial" w:ascii="Arial" w:hAnsi="Arial"/>
          <w:b/>
          <w:sz w:val="22"/>
          <w:szCs w:val="22"/>
        </w:rPr>
        <w:t>PLANO ESTRATÉGICO DE EXECUÇÃO DE OBRAS</w:t>
      </w:r>
      <w:r>
        <w:rPr>
          <w:rFonts w:cs="Arial" w:ascii="Arial" w:hAnsi="Arial"/>
          <w:sz w:val="22"/>
          <w:szCs w:val="22"/>
        </w:rPr>
        <w:t>, que será submetido à fiscalização, esta aprovará ou não a proposta de trabalho emitida pela contratada.</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 </w:t>
      </w:r>
      <w:r>
        <w:rPr>
          <w:rFonts w:cs="Arial" w:ascii="Arial" w:hAnsi="Arial"/>
          <w:sz w:val="22"/>
          <w:szCs w:val="22"/>
        </w:rPr>
        <w:t>A vencedora deverá apresentar junto à Secretaria Municipal da Fazenda a caução no valor de 5% no valor da obra, nas condições previstas no art. 56 da Lei 8.666/93.</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QUALIFICAÇÃO TÉCNICA.</w:t>
      </w:r>
    </w:p>
    <w:p>
      <w:pPr>
        <w:pStyle w:val="Normal"/>
        <w:tabs>
          <w:tab w:val="left" w:pos="851" w:leader="none"/>
        </w:tabs>
        <w:spacing w:lineRule="auto" w:line="276" w:before="0" w:after="120"/>
        <w:rPr>
          <w:rFonts w:ascii="Arial" w:hAnsi="Arial" w:cs="Arial"/>
          <w:sz w:val="22"/>
          <w:szCs w:val="22"/>
          <w:highlight w:val="yellow"/>
        </w:rPr>
      </w:pPr>
      <w:r>
        <w:rPr>
          <w:rFonts w:cs="Arial" w:ascii="Arial" w:hAnsi="Arial"/>
          <w:sz w:val="22"/>
          <w:szCs w:val="22"/>
          <w:highlight w:val="yellow"/>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Certidão de inscrição </w:t>
      </w:r>
      <w:r>
        <w:rPr>
          <w:rFonts w:cs="Arial" w:ascii="Arial" w:hAnsi="Arial"/>
          <w:sz w:val="22"/>
          <w:szCs w:val="22"/>
          <w:u w:val="single"/>
        </w:rPr>
        <w:t>da empresa (pessoa jurídica e do(s) responsável(is) técnico(s) (pessoa física)</w:t>
      </w:r>
      <w:r>
        <w:rPr>
          <w:rFonts w:cs="Arial" w:ascii="Arial" w:hAnsi="Arial"/>
          <w:sz w:val="22"/>
          <w:szCs w:val="22"/>
        </w:rPr>
        <w:t xml:space="preserve"> no </w:t>
      </w:r>
      <w:r>
        <w:rPr>
          <w:rFonts w:cs="Arial" w:ascii="Arial" w:hAnsi="Arial"/>
          <w:b/>
          <w:sz w:val="22"/>
          <w:szCs w:val="22"/>
        </w:rPr>
        <w:t>Conselho Regional de Engenharia e Agronomia - CREA</w:t>
      </w:r>
      <w:r>
        <w:rPr>
          <w:rFonts w:cs="Arial" w:ascii="Arial" w:hAnsi="Arial"/>
          <w:sz w:val="22"/>
          <w:szCs w:val="22"/>
        </w:rPr>
        <w:t xml:space="preserve"> ou </w:t>
      </w:r>
      <w:r>
        <w:rPr>
          <w:rFonts w:cs="Arial" w:ascii="Arial" w:hAnsi="Arial"/>
          <w:b/>
          <w:sz w:val="22"/>
          <w:szCs w:val="22"/>
        </w:rPr>
        <w:t>Conselho de Arquitetura e Urbanismo - CAU</w:t>
      </w:r>
      <w:r>
        <w:rPr>
          <w:rFonts w:cs="Arial" w:ascii="Arial" w:hAnsi="Arial"/>
          <w:sz w:val="22"/>
          <w:szCs w:val="22"/>
        </w:rPr>
        <w:t xml:space="preserve">, da região da sede da empresa.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 xml:space="preserve">Indicação do responsável técnico ou equipe de profissionais responsáveis técnicos que participarão da condução dos serviços. </w:t>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Além da experiência demonstrada na apresentação da Certidão de Acervo Técnico no órgão competente (CREA ou similar), a comprovação do vínculo empregatício dos profissionais deverá ser feita mediante cópia da Carteira Profissional de Trabalho e da Ficha de Registro de Empregados, sendo admitida a comprovação do vínculo por meio de contrato específico de prestação de serviços, dentro da legislação civil comum.</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dirigente ou sócio da empresa licitante, tal comprovação será feita através do ato constitutivo da mesma e Certidão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devidamente atualizada.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 xml:space="preserve">Quando se tratar de autônomo, apresentar contrato de prestação de serviços com a empresa licitante. </w:t>
      </w:r>
    </w:p>
    <w:p>
      <w:pPr>
        <w:pStyle w:val="Normal"/>
        <w:widowControl/>
        <w:numPr>
          <w:ilvl w:val="2"/>
          <w:numId w:val="1"/>
        </w:numPr>
        <w:tabs>
          <w:tab w:val="left" w:pos="851" w:leader="none"/>
        </w:tabs>
        <w:suppressAutoHyphens w:val="false"/>
        <w:spacing w:lineRule="auto" w:line="276" w:before="0" w:after="120"/>
        <w:ind w:left="284" w:hanging="0"/>
        <w:jc w:val="both"/>
        <w:rPr>
          <w:rFonts w:ascii="Arial" w:hAnsi="Arial" w:cs="Arial"/>
          <w:sz w:val="22"/>
          <w:szCs w:val="22"/>
        </w:rPr>
      </w:pPr>
      <w:r>
        <w:rPr>
          <w:rFonts w:cs="Arial" w:ascii="Arial" w:hAnsi="Arial"/>
          <w:sz w:val="22"/>
          <w:szCs w:val="22"/>
        </w:rPr>
        <w:t>Não será permitido apresentar comprovação de vínculo de um mesmo profissional, em mais de uma licitante, sob pena de inabilitação de ambas.</w:t>
      </w:r>
    </w:p>
    <w:p>
      <w:pPr>
        <w:pStyle w:val="Normal"/>
        <w:widowControl/>
        <w:numPr>
          <w:ilvl w:val="1"/>
          <w:numId w:val="1"/>
        </w:numPr>
        <w:tabs>
          <w:tab w:val="left" w:pos="851" w:leader="none"/>
        </w:tabs>
        <w:suppressAutoHyphens w:val="false"/>
        <w:spacing w:lineRule="auto" w:line="276" w:before="0" w:after="120"/>
        <w:ind w:left="0" w:hanging="0"/>
        <w:jc w:val="both"/>
        <w:rPr/>
      </w:pPr>
      <w:r>
        <w:rPr>
          <w:rFonts w:cs="Arial" w:ascii="Arial" w:hAnsi="Arial"/>
          <w:sz w:val="22"/>
          <w:szCs w:val="22"/>
        </w:rPr>
        <w:t xml:space="preserve">Comprovação do licitante de possuir em seu quadro permanente, na data da licitação e constante da Certidão de Registro de Pessoa Jurídica do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engenheiro(s) ou arquiteto(s) detentor(es) de atestado(s) de capacidade com suas respectivas certidão(ões) de acervos técnicos registrados no respectivo conselho da categoria e que comprovem a </w:t>
      </w:r>
      <w:r>
        <w:rPr>
          <w:rFonts w:cs="Arial" w:ascii="Arial" w:hAnsi="Arial"/>
          <w:b/>
          <w:sz w:val="22"/>
          <w:szCs w:val="22"/>
        </w:rPr>
        <w:t>EXECUÇÃO</w:t>
      </w:r>
      <w:r>
        <w:rPr>
          <w:rFonts w:cs="Arial" w:ascii="Arial" w:hAnsi="Arial"/>
          <w:sz w:val="22"/>
          <w:szCs w:val="22"/>
        </w:rPr>
        <w:t xml:space="preserve"> do(s) serviços a seguir relacionados:</w:t>
      </w:r>
    </w:p>
    <w:p>
      <w:pPr>
        <w:pStyle w:val="Normal"/>
        <w:widowControl/>
        <w:numPr>
          <w:ilvl w:val="0"/>
          <w:numId w:val="0"/>
        </w:numPr>
        <w:tabs>
          <w:tab w:val="left" w:pos="851" w:leader="none"/>
        </w:tabs>
        <w:suppressAutoHyphens w:val="false"/>
        <w:spacing w:lineRule="auto" w:line="276" w:before="0" w:after="120"/>
        <w:ind w:left="1567" w:hanging="0"/>
        <w:jc w:val="both"/>
        <w:rPr>
          <w:rFonts w:ascii="Arial" w:hAnsi="Arial" w:cs="Arial"/>
          <w:sz w:val="22"/>
          <w:szCs w:val="22"/>
        </w:rPr>
      </w:pPr>
      <w:r>
        <w:rPr>
          <w:rFonts w:cs="Arial" w:ascii="Arial" w:hAnsi="Arial"/>
          <w:sz w:val="22"/>
          <w:szCs w:val="22"/>
        </w:rPr>
      </w:r>
    </w:p>
    <w:tbl>
      <w:tblPr>
        <w:tblW w:w="8505" w:type="dxa"/>
        <w:jc w:val="left"/>
        <w:tblInd w:w="42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8505"/>
      </w:tblGrid>
      <w:tr>
        <w:trPr>
          <w:tblHeader w:val="true"/>
          <w:trHeight w:val="62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99CCFF"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ESPECIFICAÇÃO DOS SERVIÇO DE RELEVÂNCIA TÉCNICA</w:t>
            </w:r>
          </w:p>
        </w:tc>
      </w:tr>
      <w:tr>
        <w:trPr>
          <w:trHeight w:val="454" w:hRule="atLeast"/>
          <w:cantSplit w:val="true"/>
        </w:trPr>
        <w:tc>
          <w:tcPr>
            <w:tcW w:w="850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pPr>
            <w:r>
              <w:rPr>
                <w:rFonts w:cs="Arial" w:ascii="Arial" w:hAnsi="Arial"/>
                <w:b/>
                <w:bCs/>
                <w:sz w:val="22"/>
                <w:szCs w:val="22"/>
              </w:rPr>
              <w:t xml:space="preserve">Construção de Edificação em Alvenaria </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widowControl/>
        <w:numPr>
          <w:ilvl w:val="1"/>
          <w:numId w:val="1"/>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Será permitida a apresentação de certidão(ões) e atestado(s) proveniente(s) de contratos, para atendimento das condições do quadro acima.</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 xml:space="preserve">7.5.1. Somente serão aceitos atestado(s) e certidão(es) fornecidos por pessoas jurídicas de direito público ou privado, devidamente certificados pelo </w:t>
      </w:r>
      <w:r>
        <w:rPr>
          <w:rFonts w:cs="Arial" w:ascii="Arial" w:hAnsi="Arial"/>
          <w:b/>
          <w:sz w:val="22"/>
          <w:szCs w:val="22"/>
        </w:rPr>
        <w:t>CREA</w:t>
      </w:r>
      <w:r>
        <w:rPr>
          <w:rFonts w:cs="Arial" w:ascii="Arial" w:hAnsi="Arial"/>
          <w:sz w:val="22"/>
          <w:szCs w:val="22"/>
        </w:rPr>
        <w:t xml:space="preserve"> ou </w:t>
      </w:r>
      <w:r>
        <w:rPr>
          <w:rFonts w:cs="Arial" w:ascii="Arial" w:hAnsi="Arial"/>
          <w:b/>
          <w:sz w:val="22"/>
          <w:szCs w:val="22"/>
        </w:rPr>
        <w:t>CAU</w:t>
      </w:r>
      <w:r>
        <w:rPr>
          <w:rFonts w:cs="Arial" w:ascii="Arial" w:hAnsi="Arial"/>
          <w:sz w:val="22"/>
          <w:szCs w:val="22"/>
        </w:rPr>
        <w:t xml:space="preserve"> da região onde foram executados os serviços.</w:t>
      </w:r>
    </w:p>
    <w:p>
      <w:pPr>
        <w:pStyle w:val="Normal"/>
        <w:tabs>
          <w:tab w:val="left" w:pos="851" w:leader="none"/>
        </w:tabs>
        <w:spacing w:lineRule="auto" w:line="276" w:before="0" w:after="120"/>
        <w:ind w:left="284" w:hanging="0"/>
        <w:jc w:val="both"/>
        <w:rPr>
          <w:rFonts w:ascii="Arial" w:hAnsi="Arial" w:cs="Arial"/>
          <w:sz w:val="22"/>
          <w:szCs w:val="22"/>
        </w:rPr>
      </w:pPr>
      <w:r>
        <w:rPr>
          <w:rFonts w:cs="Arial" w:ascii="Arial" w:hAnsi="Arial"/>
          <w:sz w:val="22"/>
          <w:szCs w:val="22"/>
        </w:rPr>
        <w:t>7.5.2. Apresentar somente o(s) atestado(s) e certidão(ões) necessário(s) e suficiente(s) para a comprovação do exigido.</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7.6.  Deverão ser observadas as seguintes condições na apresentação dos Atestados: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A(s) certidão(ões) e/ou atestado(s) apresentado(s) deverá(ão) conter as seguintes informações básicas:</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Nome do contratado e do contratante;</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Identificação do objeto do contrato (tipo ou natureza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Localização e data da realização da obra;</w:t>
      </w:r>
    </w:p>
    <w:p>
      <w:pPr>
        <w:pStyle w:val="Normal"/>
        <w:widowControl/>
        <w:numPr>
          <w:ilvl w:val="3"/>
          <w:numId w:val="3"/>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Serviços executados.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7.7. O atestado ou certidão que não atender a todas as características citadas nas condições acima, não será considerado pela </w:t>
      </w:r>
      <w:r>
        <w:rPr>
          <w:rFonts w:cs="Arial" w:ascii="Arial" w:hAnsi="Arial"/>
          <w:b/>
          <w:sz w:val="22"/>
          <w:szCs w:val="22"/>
        </w:rPr>
        <w:t xml:space="preserve">Comissão de Licitação.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cs="Arial" w:ascii="Arial" w:hAnsi="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cs="Arial" w:ascii="Arial" w:hAnsi="Arial"/>
          <w:b/>
          <w:sz w:val="22"/>
          <w:szCs w:val="22"/>
        </w:rPr>
        <w:t xml:space="preserve">fiscalização </w:t>
      </w:r>
      <w:r>
        <w:rPr>
          <w:rFonts w:cs="Arial" w:ascii="Arial" w:hAnsi="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eastAsia="Calibri" w:cs="Arial" w:ascii="Arial" w:hAnsi="Arial"/>
          <w:sz w:val="22"/>
          <w:szCs w:val="22"/>
        </w:rPr>
        <w:t xml:space="preserve"> </w:t>
      </w:r>
    </w:p>
    <w:p>
      <w:pPr>
        <w:pStyle w:val="Normal"/>
        <w:tabs>
          <w:tab w:val="left" w:pos="426" w:leader="none"/>
          <w:tab w:val="left" w:pos="851" w:leader="none"/>
        </w:tabs>
        <w:spacing w:lineRule="auto" w:line="276" w:before="0" w:after="120"/>
        <w:jc w:val="both"/>
        <w:rPr>
          <w:rStyle w:val="Applestylespan"/>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8.  OBRIGAÇÕES DA CONTRATADA.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r>
    </w:p>
    <w:p>
      <w:pPr>
        <w:pStyle w:val="Normal"/>
        <w:tabs>
          <w:tab w:val="left" w:pos="851" w:leader="none"/>
        </w:tabs>
        <w:spacing w:lineRule="auto" w:line="276" w:before="0" w:after="120"/>
        <w:jc w:val="both"/>
        <w:rPr/>
      </w:pPr>
      <w:r>
        <w:rPr>
          <w:rFonts w:eastAsia="Calibri" w:cs="Arial" w:ascii="Arial" w:hAnsi="Arial"/>
          <w:sz w:val="22"/>
          <w:szCs w:val="22"/>
        </w:rPr>
        <w:t>8.1. Fornecimento de material, mão de obra, equipamentos, transporte de pessoal, alimentação, hospedagem, obrigações fiscais e sociais, seguros por danos pessoais, materiais, responsabilidades técnicas e civil, correrão à custa exclusiva do proponente vencedor.</w:t>
      </w:r>
    </w:p>
    <w:p>
      <w:pPr>
        <w:pStyle w:val="Normal"/>
        <w:tabs>
          <w:tab w:val="left" w:pos="851" w:leader="none"/>
        </w:tabs>
        <w:spacing w:lineRule="auto" w:line="276" w:before="0" w:after="120"/>
        <w:jc w:val="both"/>
        <w:rPr/>
      </w:pPr>
      <w:r>
        <w:rPr>
          <w:rFonts w:eastAsia="Calibri" w:cs="Arial" w:ascii="Arial" w:hAnsi="Arial"/>
          <w:sz w:val="22"/>
          <w:szCs w:val="22"/>
        </w:rPr>
        <w:t>8.2. Os materiais utilizados na obra deverão seguir as especificações técnicas exigidas pela fiscalização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8.3. Os serviços serão executados após ordem de serviços, emitida pela Secretaria Municipal de Educação, sendo os mesmos acompanhados e fiscalizados por técnicos da mesma.</w:t>
      </w:r>
    </w:p>
    <w:p>
      <w:pPr>
        <w:pStyle w:val="Normal"/>
        <w:tabs>
          <w:tab w:val="left" w:pos="851" w:leader="none"/>
        </w:tabs>
        <w:spacing w:lineRule="auto" w:line="276" w:before="0" w:after="120"/>
        <w:jc w:val="both"/>
        <w:rPr/>
      </w:pPr>
      <w:r>
        <w:rPr>
          <w:rFonts w:eastAsia="Calibri" w:cs="Arial" w:ascii="Arial" w:hAnsi="Arial"/>
          <w:sz w:val="22"/>
          <w:szCs w:val="22"/>
        </w:rPr>
        <w:t>8.4. É de inteira responsabilidade do proponente/ contratado a fiel    execução dos serviços, de forma que a obra seja concluída de acordo com a boa técnica e Normas específicas.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8.5. Não será admitida pelos licitantes/contratado, a alegação de falta de peças técnicas e/ou desconhecimento do processo/ serviços.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8.6.</w:t>
      </w:r>
      <w:r>
        <w:rPr>
          <w:rFonts w:cs="Arial" w:ascii="Arial" w:hAnsi="Arial"/>
          <w:b/>
          <w:sz w:val="22"/>
          <w:szCs w:val="22"/>
        </w:rPr>
        <w:t xml:space="preserve"> </w:t>
      </w:r>
      <w:r>
        <w:rPr>
          <w:rFonts w:cs="Arial" w:ascii="Arial" w:hAnsi="Arial"/>
          <w:sz w:val="22"/>
          <w:szCs w:val="22"/>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8.7. </w:t>
      </w:r>
      <w:r>
        <w:rPr>
          <w:rFonts w:cs="Arial" w:ascii="Arial" w:hAnsi="Arial"/>
          <w:sz w:val="22"/>
          <w:szCs w:val="22"/>
        </w:rPr>
        <w:t>Manter sempre em serviço um supervisor credenciado e preparado para responder prontamente pela empresa junto a Secretaria Municipal de Educação.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8.8. </w:t>
      </w:r>
      <w:r>
        <w:rPr>
          <w:rFonts w:cs="Arial" w:ascii="Arial" w:hAnsi="Arial"/>
          <w:sz w:val="22"/>
          <w:szCs w:val="22"/>
        </w:rPr>
        <w:t>Manter junto a seu escritório plantão apto para resolver quaisquer problemas que possam surgir durante a realização dos trabalhos.</w:t>
      </w:r>
    </w:p>
    <w:p>
      <w:pPr>
        <w:pStyle w:val="Corpodetexto"/>
        <w:tabs>
          <w:tab w:val="left" w:pos="851" w:leader="none"/>
        </w:tabs>
        <w:spacing w:lineRule="auto" w:line="276"/>
        <w:jc w:val="both"/>
        <w:rPr>
          <w:rFonts w:ascii="Arial" w:hAnsi="Arial" w:eastAsia="Calibri" w:cs="Arial"/>
          <w:sz w:val="22"/>
          <w:szCs w:val="22"/>
        </w:rPr>
      </w:pPr>
      <w:r>
        <w:rPr>
          <w:rFonts w:cs="Arial" w:ascii="Arial" w:hAnsi="Arial"/>
          <w:sz w:val="22"/>
          <w:szCs w:val="22"/>
        </w:rPr>
        <w:t>8.9.</w:t>
      </w:r>
      <w:r>
        <w:rPr>
          <w:rFonts w:cs="Arial" w:ascii="Arial" w:hAnsi="Arial"/>
          <w:b/>
          <w:sz w:val="22"/>
          <w:szCs w:val="22"/>
        </w:rPr>
        <w:t xml:space="preserve"> </w:t>
      </w:r>
      <w:r>
        <w:rPr>
          <w:rFonts w:cs="Arial" w:ascii="Arial" w:hAnsi="Arial"/>
          <w:sz w:val="22"/>
          <w:szCs w:val="22"/>
        </w:rPr>
        <w:t>Substituir imediatamente qualquer empregado seu que se mostre inconveniente a qualquer pessoa envolvida na execução do objeto.</w:t>
      </w:r>
      <w:r>
        <w:rPr>
          <w:rFonts w:eastAsia="Calibri" w:cs="Arial" w:ascii="Arial" w:hAnsi="Arial"/>
          <w:sz w:val="22"/>
          <w:szCs w:val="22"/>
        </w:rPr>
        <w:t xml:space="preserve"> </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8.10.</w:t>
      </w:r>
      <w:r>
        <w:rPr>
          <w:rFonts w:cs="Arial" w:ascii="Arial" w:hAnsi="Arial"/>
          <w:b/>
          <w:sz w:val="22"/>
          <w:szCs w:val="22"/>
        </w:rPr>
        <w:t xml:space="preserve"> </w:t>
      </w:r>
      <w:r>
        <w:rPr>
          <w:rFonts w:cs="Arial" w:ascii="Arial" w:hAnsi="Arial"/>
          <w:sz w:val="22"/>
          <w:szCs w:val="22"/>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pPr>
        <w:pStyle w:val="Corpodetexto"/>
        <w:tabs>
          <w:tab w:val="left" w:pos="851" w:leader="none"/>
        </w:tabs>
        <w:spacing w:lineRule="auto" w:line="276"/>
        <w:jc w:val="both"/>
        <w:rPr/>
      </w:pPr>
      <w:r>
        <w:rPr>
          <w:rFonts w:eastAsia="Calibri" w:cs="Arial" w:ascii="Arial" w:hAnsi="Arial"/>
          <w:sz w:val="22"/>
          <w:szCs w:val="22"/>
        </w:rPr>
        <w:t xml:space="preserve">8.11. </w:t>
      </w:r>
      <w:r>
        <w:rPr>
          <w:rFonts w:cs="Arial" w:ascii="Arial" w:hAnsi="Arial"/>
          <w:sz w:val="22"/>
          <w:szCs w:val="22"/>
        </w:rPr>
        <w:t>Solucionar através de providências que se fizerem necessárias as incoerências falhas ou omissões constatadas na execução do contrato.</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8.12. </w:t>
      </w:r>
      <w:r>
        <w:rPr>
          <w:rFonts w:cs="Arial" w:ascii="Arial" w:hAnsi="Arial"/>
          <w:sz w:val="22"/>
          <w:szCs w:val="22"/>
        </w:rPr>
        <w:t>Fornecer detalhes construtivos que se fizerem necessários para a perfeita execução da obra.</w:t>
      </w:r>
    </w:p>
    <w:p>
      <w:pPr>
        <w:pStyle w:val="Corpodetexto"/>
        <w:tabs>
          <w:tab w:val="left" w:pos="851" w:leader="none"/>
        </w:tabs>
        <w:spacing w:lineRule="auto" w:line="276"/>
        <w:jc w:val="both"/>
        <w:rPr/>
      </w:pPr>
      <w:r>
        <w:rPr>
          <w:rFonts w:eastAsia="Calibri" w:cs="Arial" w:ascii="Arial" w:hAnsi="Arial"/>
          <w:sz w:val="22"/>
          <w:szCs w:val="22"/>
        </w:rPr>
        <w:t xml:space="preserve">8.13. </w:t>
      </w:r>
      <w:r>
        <w:rPr>
          <w:rFonts w:cs="Arial" w:ascii="Arial" w:hAnsi="Arial"/>
          <w:sz w:val="22"/>
          <w:szCs w:val="22"/>
        </w:rPr>
        <w:t>Substituir materiais e equipamentos que sejam considerados defeituosos, inadequados ou inservíveis para a obra.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8.14. </w:t>
      </w:r>
      <w:r>
        <w:rPr>
          <w:rFonts w:cs="Arial" w:ascii="Arial" w:hAnsi="Arial"/>
          <w:sz w:val="22"/>
          <w:szCs w:val="22"/>
        </w:rPr>
        <w:t>Que seja refeito qualquer trabalho que não obedeça aos elementos do projeto e demais disposições contratuais, correndo por conta da contratada as despesas decorrentes da correção realizada.</w:t>
      </w:r>
    </w:p>
    <w:p>
      <w:pPr>
        <w:pStyle w:val="Corpodetexto"/>
        <w:tabs>
          <w:tab w:val="left" w:pos="851" w:leader="none"/>
        </w:tabs>
        <w:spacing w:lineRule="auto" w:line="276"/>
        <w:jc w:val="both"/>
        <w:rPr>
          <w:rFonts w:ascii="Arial" w:hAnsi="Arial" w:cs="Arial"/>
          <w:sz w:val="22"/>
          <w:szCs w:val="22"/>
        </w:rPr>
      </w:pPr>
      <w:r>
        <w:rPr>
          <w:rFonts w:eastAsia="Calibri" w:cs="Arial" w:ascii="Arial" w:hAnsi="Arial"/>
          <w:sz w:val="22"/>
          <w:szCs w:val="22"/>
        </w:rPr>
        <w:t xml:space="preserve">8.15. </w:t>
      </w:r>
      <w:r>
        <w:rPr>
          <w:rFonts w:cs="Arial" w:ascii="Arial" w:hAnsi="Arial"/>
          <w:sz w:val="22"/>
          <w:szCs w:val="22"/>
        </w:rPr>
        <w:t>Todos os materiais deverão ser de primeira qualidade e, salvo, os expressamente excluídos adiante, serão inteiramente fornecidos pela contratada.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8.16.</w:t>
      </w:r>
      <w:r>
        <w:rPr>
          <w:rFonts w:cs="Arial" w:ascii="Arial" w:hAnsi="Arial"/>
          <w:b/>
          <w:sz w:val="22"/>
          <w:szCs w:val="22"/>
        </w:rPr>
        <w:t xml:space="preserve"> </w:t>
      </w:r>
      <w:r>
        <w:rPr>
          <w:rFonts w:cs="Arial" w:ascii="Arial" w:hAnsi="Arial"/>
          <w:sz w:val="22"/>
          <w:szCs w:val="22"/>
        </w:rPr>
        <w:t>Fornecer nota fiscal dos serviços prestados.</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8.17.A empresa vencedora deverá indicar antes da liberação da </w:t>
      </w:r>
      <w:r>
        <w:rPr>
          <w:rFonts w:cs="Arial" w:ascii="Arial" w:hAnsi="Arial"/>
          <w:b/>
          <w:sz w:val="22"/>
          <w:szCs w:val="22"/>
        </w:rPr>
        <w:t>ORDEM DE SERVIÇO (O.S.)</w:t>
      </w:r>
      <w:r>
        <w:rPr>
          <w:rFonts w:cs="Arial" w:ascii="Arial" w:hAnsi="Arial"/>
          <w:sz w:val="22"/>
          <w:szCs w:val="22"/>
        </w:rPr>
        <w:t xml:space="preserve"> e manter um (</w:t>
      </w:r>
      <w:r>
        <w:rPr>
          <w:rFonts w:cs="Arial" w:ascii="Arial" w:hAnsi="Arial"/>
          <w:b/>
          <w:sz w:val="22"/>
          <w:szCs w:val="22"/>
        </w:rPr>
        <w:t>PREPOSTO)</w:t>
      </w:r>
      <w:r>
        <w:rPr>
          <w:rFonts w:cs="Arial" w:ascii="Arial" w:hAnsi="Arial"/>
          <w:sz w:val="22"/>
          <w:szCs w:val="22"/>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t>A caução inicial poderá ser feita em uma das seguintes modalidades:</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a) em moeda corrente no país ou em títulos de dívida pública;</w:t>
      </w:r>
    </w:p>
    <w:p>
      <w:pPr>
        <w:pStyle w:val="Normal"/>
        <w:tabs>
          <w:tab w:val="left" w:pos="851" w:leader="none"/>
        </w:tabs>
        <w:spacing w:lineRule="auto" w:line="276" w:before="0" w:after="120"/>
        <w:ind w:left="709" w:hanging="0"/>
        <w:jc w:val="both"/>
        <w:rPr>
          <w:rFonts w:ascii="Arial" w:hAnsi="Arial" w:cs="Arial"/>
          <w:bCs/>
          <w:sz w:val="22"/>
          <w:szCs w:val="22"/>
        </w:rPr>
      </w:pPr>
      <w:r>
        <w:rPr>
          <w:rFonts w:cs="Arial" w:ascii="Arial" w:hAnsi="Arial"/>
          <w:bCs/>
          <w:sz w:val="22"/>
          <w:szCs w:val="22"/>
        </w:rPr>
        <w:t>b) em fiança bancária;</w:t>
      </w:r>
    </w:p>
    <w:p>
      <w:pPr>
        <w:pStyle w:val="Normal"/>
        <w:tabs>
          <w:tab w:val="left" w:pos="851" w:leader="none"/>
        </w:tabs>
        <w:spacing w:lineRule="auto" w:line="276" w:before="0" w:after="120"/>
        <w:ind w:left="709" w:hanging="0"/>
        <w:jc w:val="both"/>
        <w:rPr/>
      </w:pPr>
      <w:r>
        <w:rPr>
          <w:rFonts w:cs="Arial" w:ascii="Arial" w:hAnsi="Arial"/>
          <w:bCs/>
          <w:sz w:val="22"/>
          <w:szCs w:val="22"/>
        </w:rPr>
        <w:t>c) em seguro-garantia.</w:t>
      </w:r>
    </w:p>
    <w:p>
      <w:pPr>
        <w:pStyle w:val="Normal"/>
        <w:tabs>
          <w:tab w:val="left" w:pos="851" w:leader="none"/>
        </w:tabs>
        <w:spacing w:lineRule="auto" w:line="276" w:before="0" w:after="120"/>
        <w:jc w:val="both"/>
        <w:rPr/>
      </w:pPr>
      <w:r>
        <w:rPr>
          <w:rFonts w:cs="Arial" w:ascii="Arial" w:hAnsi="Arial"/>
          <w:bCs/>
          <w:sz w:val="22"/>
          <w:szCs w:val="22"/>
        </w:rPr>
        <w:t>A caução inicial somente poderá ser levantada 60 (sessenta) dias após o encerramento do contrato.</w:t>
      </w:r>
    </w:p>
    <w:p>
      <w:pPr>
        <w:pStyle w:val="Normal"/>
        <w:tabs>
          <w:tab w:val="left" w:pos="851" w:leader="none"/>
        </w:tabs>
        <w:spacing w:lineRule="auto" w:line="276" w:before="0" w:after="120"/>
        <w:jc w:val="both"/>
        <w:rPr>
          <w:rFonts w:ascii="Arial" w:hAnsi="Arial" w:cs="Arial"/>
          <w:bCs/>
          <w:sz w:val="22"/>
          <w:szCs w:val="22"/>
        </w:rPr>
      </w:pPr>
      <w:r>
        <w:rPr>
          <w:rFonts w:cs="Arial" w:ascii="Arial" w:hAnsi="Arial"/>
          <w:bCs/>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r>
        <w:rPr>
          <w:rFonts w:cs="Arial"/>
          <w:bCs w:val="false"/>
          <w:sz w:val="22"/>
          <w:szCs w:val="22"/>
        </w:rPr>
        <w:t>9.   OBRIGAÇÕES DA CONTRATANTE.</w:t>
      </w:r>
    </w:p>
    <w:p>
      <w:pPr>
        <w:pStyle w:val="Corpodetexto"/>
        <w:tabs>
          <w:tab w:val="left" w:pos="851" w:leader="none"/>
        </w:tabs>
        <w:spacing w:lineRule="auto" w:line="276"/>
        <w:jc w:val="both"/>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9.1. Efetuar os pagamentos nos prazos estabelecidos, respeitadas as   disposições da proposta, do presente contrato.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9.2. Prestar as informações necessárias com clareza, à contratada para execução dos serviços contratados.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9.3. Acompanhar e fiscalizar 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9.4. Adotar as medidas solicitadas pela contratada e consideradas necessárias à perfeita execução dos serviços.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9.5. Nomear fiscal para dirimir dúvidas.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t>9.6. Dar aceitação dos serviços.</w:t>
      </w:r>
    </w:p>
    <w:p>
      <w:pPr>
        <w:pStyle w:val="Corpodetexto"/>
        <w:tabs>
          <w:tab w:val="left" w:pos="851" w:leader="none"/>
        </w:tabs>
        <w:spacing w:lineRule="auto" w:line="276"/>
        <w:jc w:val="both"/>
        <w:rPr>
          <w:rFonts w:ascii="Arial" w:hAnsi="Arial" w:eastAsia="Calibri" w:cs="Arial"/>
          <w:sz w:val="22"/>
          <w:szCs w:val="22"/>
        </w:rPr>
      </w:pPr>
      <w:r>
        <w:rPr>
          <w:rFonts w:eastAsia="Calibri"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10.  ORÇAMENTO ESTIMADO.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tbl>
      <w:tblPr>
        <w:tblW w:w="9225" w:type="dxa"/>
        <w:jc w:val="left"/>
        <w:tblInd w:w="-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0" w:noVBand="0" w:lastRow="0" w:firstColumn="0" w:lastColumn="0" w:noHBand="0" w:val="0000"/>
      </w:tblPr>
      <w:tblGrid>
        <w:gridCol w:w="6570"/>
        <w:gridCol w:w="2654"/>
      </w:tblGrid>
      <w:tr>
        <w:trPr>
          <w:trHeight w:val="525"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pPr>
            <w:r>
              <w:rPr>
                <w:rFonts w:cs="Arial" w:ascii="Arial" w:hAnsi="Arial"/>
                <w:b/>
                <w:sz w:val="22"/>
                <w:szCs w:val="22"/>
              </w:rPr>
              <w:t xml:space="preserve">DESCRIÇÃO </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E0E0E0" w:val="clear"/>
            <w:tcMar>
              <w:left w:w="-5" w:type="dxa"/>
            </w:tcMar>
            <w:vAlign w:val="center"/>
          </w:tcPr>
          <w:p>
            <w:pPr>
              <w:pStyle w:val="BodyText3"/>
              <w:tabs>
                <w:tab w:val="left" w:pos="851" w:leader="none"/>
              </w:tabs>
              <w:spacing w:lineRule="auto" w:line="276" w:before="0" w:after="120"/>
              <w:jc w:val="center"/>
              <w:rPr>
                <w:rFonts w:ascii="Arial" w:hAnsi="Arial" w:cs="Arial"/>
                <w:b/>
                <w:b/>
                <w:sz w:val="22"/>
                <w:szCs w:val="22"/>
              </w:rPr>
            </w:pPr>
            <w:r>
              <w:rPr>
                <w:rFonts w:cs="Arial" w:ascii="Arial" w:hAnsi="Arial"/>
                <w:b/>
                <w:sz w:val="22"/>
                <w:szCs w:val="22"/>
              </w:rPr>
              <w:t>ORÇAMENTO</w:t>
            </w:r>
          </w:p>
        </w:tc>
      </w:tr>
      <w:tr>
        <w:trPr>
          <w:trHeight w:val="547" w:hRule="atLeast"/>
        </w:trPr>
        <w:tc>
          <w:tcPr>
            <w:tcW w:w="657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sz w:val="22"/>
                <w:szCs w:val="22"/>
              </w:rPr>
            </w:pPr>
            <w:r>
              <w:rPr>
                <w:rFonts w:cs="Arial" w:ascii="Arial" w:hAnsi="Arial"/>
                <w:b/>
                <w:color w:val="000000"/>
                <w:sz w:val="22"/>
                <w:szCs w:val="22"/>
              </w:rPr>
              <w:t xml:space="preserve">CONSTRUÇÃO DA COPA DA </w:t>
            </w:r>
          </w:p>
          <w:p>
            <w:pPr>
              <w:pStyle w:val="Normal"/>
              <w:tabs>
                <w:tab w:val="left" w:pos="851" w:leader="none"/>
              </w:tabs>
              <w:spacing w:lineRule="auto" w:line="276" w:before="0" w:after="120"/>
              <w:jc w:val="center"/>
              <w:rPr>
                <w:sz w:val="22"/>
                <w:szCs w:val="22"/>
              </w:rPr>
            </w:pPr>
            <w:r>
              <w:rPr>
                <w:rFonts w:cs="Arial" w:ascii="Arial" w:hAnsi="Arial"/>
                <w:b/>
                <w:color w:val="000000"/>
                <w:sz w:val="22"/>
                <w:szCs w:val="22"/>
              </w:rPr>
              <w:t>BANDA FILARMÔNICA DE ITAJAÍ</w:t>
            </w:r>
          </w:p>
        </w:tc>
        <w:tc>
          <w:tcPr>
            <w:tcW w:w="265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BodyText3"/>
              <w:tabs>
                <w:tab w:val="left" w:pos="851" w:leader="none"/>
              </w:tabs>
              <w:spacing w:lineRule="auto" w:line="276" w:before="0" w:after="120"/>
              <w:jc w:val="center"/>
              <w:rPr/>
            </w:pPr>
            <w:bookmarkStart w:id="4" w:name="__DdeLink__505_680403513"/>
            <w:r>
              <w:rPr>
                <w:rFonts w:cs="Arial" w:ascii="Arial" w:hAnsi="Arial"/>
                <w:b/>
                <w:bCs/>
                <w:sz w:val="22"/>
                <w:szCs w:val="22"/>
              </w:rPr>
              <w:t xml:space="preserve">R$ </w:t>
            </w:r>
            <w:bookmarkEnd w:id="4"/>
            <w:r>
              <w:rPr>
                <w:rFonts w:cs="Arial" w:ascii="Arial" w:hAnsi="Arial"/>
                <w:b/>
                <w:bCs/>
                <w:sz w:val="22"/>
                <w:szCs w:val="22"/>
              </w:rPr>
              <w:t>47.</w:t>
            </w:r>
            <w:r>
              <w:rPr>
                <w:rFonts w:cs="Arial" w:ascii="Arial" w:hAnsi="Arial"/>
                <w:b/>
                <w:bCs/>
                <w:sz w:val="22"/>
                <w:szCs w:val="22"/>
              </w:rPr>
              <w:t>526,79</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pPr>
      <w:r>
        <w:rPr>
          <w:rFonts w:cs="Arial" w:ascii="Arial" w:hAnsi="Arial"/>
          <w:sz w:val="22"/>
          <w:szCs w:val="22"/>
        </w:rPr>
        <w:t>10.1. Propostas acima do orçamento estimado serão desclassificadas.</w:t>
      </w:r>
    </w:p>
    <w:p>
      <w:pPr>
        <w:pStyle w:val="Normal"/>
        <w:tabs>
          <w:tab w:val="left" w:pos="851" w:leader="none"/>
        </w:tabs>
        <w:spacing w:lineRule="auto" w:line="276" w:before="0" w:after="120"/>
        <w:jc w:val="both"/>
        <w:rPr/>
      </w:pPr>
      <w:r>
        <w:rPr>
          <w:rFonts w:cs="Arial" w:ascii="Arial" w:hAnsi="Arial"/>
          <w:sz w:val="22"/>
          <w:szCs w:val="22"/>
        </w:rPr>
        <w:t xml:space="preserve">10.2. Se torna </w:t>
      </w:r>
      <w:r>
        <w:rPr>
          <w:rFonts w:cs="Arial" w:ascii="Arial" w:hAnsi="Arial"/>
          <w:b/>
          <w:sz w:val="22"/>
          <w:szCs w:val="22"/>
        </w:rPr>
        <w:t>OBRIGATÓRIO</w:t>
      </w:r>
      <w:r>
        <w:rPr>
          <w:rFonts w:cs="Arial" w:ascii="Arial" w:hAnsi="Arial"/>
          <w:sz w:val="22"/>
          <w:szCs w:val="22"/>
        </w:rPr>
        <w:t xml:space="preserve">, apresentação da composição do </w:t>
      </w:r>
      <w:r>
        <w:rPr>
          <w:rFonts w:cs="Arial" w:ascii="Arial" w:hAnsi="Arial"/>
          <w:b/>
          <w:sz w:val="22"/>
          <w:szCs w:val="22"/>
        </w:rPr>
        <w:t>BDI</w:t>
      </w:r>
      <w:r>
        <w:rPr>
          <w:rFonts w:cs="Arial" w:ascii="Arial" w:hAnsi="Arial"/>
          <w:sz w:val="22"/>
          <w:szCs w:val="22"/>
        </w:rPr>
        <w:t xml:space="preserve"> por parte da licitante contendo os parâmetros:</w:t>
      </w:r>
    </w:p>
    <w:tbl>
      <w:tblPr>
        <w:tblW w:w="637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5" w:type="dxa"/>
          <w:bottom w:w="0" w:type="dxa"/>
          <w:right w:w="70" w:type="dxa"/>
        </w:tblCellMar>
        <w:tblLook w:firstRow="1" w:noVBand="1" w:lastRow="0" w:firstColumn="1" w:lastColumn="0" w:noHBand="0" w:val="04a0"/>
      </w:tblPr>
      <w:tblGrid>
        <w:gridCol w:w="849"/>
        <w:gridCol w:w="5529"/>
      </w:tblGrid>
      <w:tr>
        <w:trPr>
          <w:trHeight w:val="227" w:hRule="atLeast"/>
        </w:trPr>
        <w:tc>
          <w:tcPr>
            <w:tcW w:w="6378"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8DB3E2" w:themeFill="text2" w:themeFillTint="66" w:val="clear"/>
            <w:tcMar>
              <w:left w:w="-5" w:type="dxa"/>
            </w:tcMar>
            <w:vAlign w:val="center"/>
          </w:tcPr>
          <w:p>
            <w:pPr>
              <w:pStyle w:val="Normal"/>
              <w:tabs>
                <w:tab w:val="left" w:pos="851" w:leader="none"/>
              </w:tabs>
              <w:spacing w:lineRule="auto" w:line="276" w:before="0" w:after="120"/>
              <w:jc w:val="center"/>
              <w:rPr/>
            </w:pPr>
            <w:r>
              <w:rPr>
                <w:rFonts w:cs="Arial" w:ascii="Arial" w:hAnsi="Arial"/>
                <w:b/>
                <w:sz w:val="20"/>
                <w:szCs w:val="20"/>
              </w:rPr>
              <w:t>DESCRIÇÃO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AC</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Taxa de Administração Central</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 + G</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Seguro e Garantia</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w:t>
            </w:r>
          </w:p>
        </w:tc>
        <w:tc>
          <w:tcPr>
            <w:tcW w:w="5529" w:type="dxa"/>
            <w:tcBorders>
              <w:top w:val="single" w:sz="4" w:space="0" w:color="00000A"/>
              <w:left w:val="single" w:sz="4" w:space="0" w:color="000001"/>
              <w:bottom w:val="single" w:sz="4" w:space="0" w:color="00000A"/>
              <w:right w:val="single" w:sz="4" w:space="0" w:color="000001"/>
              <w:insideH w:val="single" w:sz="4" w:space="0" w:color="00000A"/>
              <w:insideV w:val="single" w:sz="4" w:space="0" w:color="000001"/>
            </w:tcBorders>
            <w:shd w:color="auto" w:fill="auto" w:val="cle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Risco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DF</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Despesas Financeiras</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Lucro/Remuneração</w:t>
            </w:r>
          </w:p>
        </w:tc>
      </w:tr>
      <w:tr>
        <w:trPr>
          <w:trHeight w:val="284" w:hRule="exact"/>
        </w:trPr>
        <w:tc>
          <w:tcPr>
            <w:tcW w:w="8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w:t>
            </w:r>
          </w:p>
        </w:tc>
        <w:tc>
          <w:tcPr>
            <w:tcW w:w="552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5" w:type="dxa"/>
            </w:tcMar>
            <w:vAlign w:val="center"/>
          </w:tcPr>
          <w:p>
            <w:pPr>
              <w:pStyle w:val="Normal"/>
              <w:tabs>
                <w:tab w:val="left" w:pos="851" w:leader="none"/>
              </w:tabs>
              <w:spacing w:lineRule="auto" w:line="276" w:before="0" w:after="120"/>
              <w:jc w:val="center"/>
              <w:rPr>
                <w:rFonts w:ascii="Arial" w:hAnsi="Arial" w:cs="Arial"/>
                <w:sz w:val="18"/>
                <w:szCs w:val="18"/>
              </w:rPr>
            </w:pPr>
            <w:r>
              <w:rPr>
                <w:rFonts w:cs="Arial" w:ascii="Arial" w:hAnsi="Arial"/>
                <w:sz w:val="18"/>
                <w:szCs w:val="18"/>
              </w:rPr>
              <w:t>(IMPOSTOS) PIS, COFINS E ISSQN</w:t>
            </w:r>
          </w:p>
        </w:tc>
      </w:tr>
    </w:tbl>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10.3.  Será </w:t>
      </w:r>
      <w:r>
        <w:rPr>
          <w:rFonts w:cs="Arial" w:ascii="Arial" w:hAnsi="Arial"/>
          <w:b/>
          <w:sz w:val="22"/>
          <w:szCs w:val="22"/>
        </w:rPr>
        <w:t xml:space="preserve">FACULTADA, </w:t>
      </w:r>
      <w:r>
        <w:rPr>
          <w:rFonts w:cs="Arial" w:ascii="Arial" w:hAnsi="Arial"/>
          <w:sz w:val="22"/>
          <w:szCs w:val="22"/>
        </w:rPr>
        <w:t xml:space="preserve">apresentação da </w:t>
      </w:r>
      <w:r>
        <w:rPr>
          <w:rFonts w:cs="Arial" w:ascii="Arial" w:hAnsi="Arial"/>
          <w:b/>
          <w:sz w:val="22"/>
          <w:szCs w:val="22"/>
        </w:rPr>
        <w:t>DECLARAÇÃO DE VISITA TÉCNICA</w:t>
      </w:r>
      <w:r>
        <w:rPr>
          <w:rFonts w:cs="Arial" w:ascii="Arial" w:hAnsi="Arial"/>
          <w:sz w:val="22"/>
          <w:szCs w:val="22"/>
        </w:rPr>
        <w:t xml:space="preserve"> emitida pela </w:t>
      </w:r>
      <w:r>
        <w:rPr>
          <w:rFonts w:cs="Arial" w:ascii="Arial" w:hAnsi="Arial"/>
          <w:b/>
          <w:sz w:val="22"/>
          <w:szCs w:val="22"/>
        </w:rPr>
        <w:t>CONTRATANTE</w:t>
      </w:r>
      <w:r>
        <w:rPr>
          <w:rFonts w:cs="Arial" w:ascii="Arial" w:hAnsi="Arial"/>
          <w:sz w:val="22"/>
          <w:szCs w:val="22"/>
        </w:rPr>
        <w:t xml:space="preserve"> por parte do Licitante.</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10.4.  Torna-se </w:t>
      </w:r>
      <w:r>
        <w:rPr>
          <w:rFonts w:cs="Arial" w:ascii="Arial" w:hAnsi="Arial"/>
          <w:b/>
          <w:sz w:val="22"/>
          <w:szCs w:val="22"/>
        </w:rPr>
        <w:t>OBRIGATÓRIO</w:t>
      </w:r>
      <w:r>
        <w:rPr>
          <w:rFonts w:cs="Arial" w:ascii="Arial" w:hAnsi="Arial"/>
          <w:sz w:val="22"/>
          <w:szCs w:val="22"/>
        </w:rPr>
        <w:t xml:space="preserve">, apresentação da </w:t>
      </w:r>
      <w:r>
        <w:rPr>
          <w:rFonts w:cs="Arial" w:ascii="Arial" w:hAnsi="Arial"/>
          <w:b/>
          <w:sz w:val="22"/>
          <w:szCs w:val="22"/>
        </w:rPr>
        <w:t>PLANILHA ORÇAMENTÁRIA</w:t>
      </w:r>
      <w:r>
        <w:rPr>
          <w:rFonts w:cs="Arial" w:ascii="Arial" w:hAnsi="Arial"/>
          <w:sz w:val="22"/>
          <w:szCs w:val="22"/>
        </w:rPr>
        <w:t xml:space="preserve"> proposta pela empresa vencedora contendo a indicação do </w:t>
      </w:r>
      <w:r>
        <w:rPr>
          <w:rFonts w:cs="Arial" w:ascii="Arial" w:hAnsi="Arial"/>
          <w:b/>
          <w:sz w:val="22"/>
          <w:szCs w:val="22"/>
        </w:rPr>
        <w:t>BDI</w:t>
      </w:r>
      <w:r>
        <w:rPr>
          <w:rFonts w:cs="Arial" w:ascii="Arial" w:hAnsi="Arial"/>
          <w:sz w:val="22"/>
          <w:szCs w:val="22"/>
        </w:rPr>
        <w:t>.</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 xml:space="preserve">10.5.  Torna-se </w:t>
      </w:r>
      <w:r>
        <w:rPr>
          <w:rFonts w:cs="Arial" w:ascii="Arial" w:hAnsi="Arial"/>
          <w:b/>
          <w:sz w:val="22"/>
          <w:szCs w:val="22"/>
        </w:rPr>
        <w:t>OBRIGATÓRIO</w:t>
      </w:r>
      <w:r>
        <w:rPr>
          <w:rFonts w:cs="Arial" w:ascii="Arial" w:hAnsi="Arial"/>
          <w:sz w:val="22"/>
          <w:szCs w:val="22"/>
        </w:rPr>
        <w:t xml:space="preserve">, apresentação do cronograma físico-financeiro proposto pela empresa vencedora. </w:t>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11.  EXAME DA(S) PROPOSTA(S) DE PREÇOS.</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tab/>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que atenderem em sua essência aos requisitos do Edital serão verificadas quanto aos seguintes erros, os quais serão corrigidos pela Comissão de Licitação na forma indicada abaixo: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bCs/>
          <w:sz w:val="22"/>
          <w:szCs w:val="22"/>
        </w:rPr>
      </w:pPr>
      <w:r>
        <w:rPr>
          <w:rFonts w:cs="Arial" w:ascii="Arial" w:hAnsi="Arial"/>
          <w:bCs/>
          <w:sz w:val="22"/>
          <w:szCs w:val="22"/>
        </w:rPr>
        <w:t>Discrepância entre valores grafados em algarismos e por extenso: prevalecerá o valor por extenso;</w:t>
      </w:r>
    </w:p>
    <w:p>
      <w:pPr>
        <w:pStyle w:val="PT"/>
        <w:numPr>
          <w:ilvl w:val="2"/>
          <w:numId w:val="4"/>
        </w:numPr>
        <w:tabs>
          <w:tab w:val="left" w:pos="851" w:leader="none"/>
          <w:tab w:val="left" w:pos="993" w:leader="none"/>
          <w:tab w:val="left" w:pos="1418" w:leader="none"/>
        </w:tabs>
        <w:overflowPunct w:val="true"/>
        <w:spacing w:lineRule="auto" w:line="276" w:before="0" w:after="120"/>
        <w:ind w:left="567" w:hanging="0"/>
        <w:textAlignment w:val="auto"/>
        <w:rPr>
          <w:rFonts w:cs="Arial"/>
          <w:b w:val="false"/>
          <w:b w:val="false"/>
          <w:bCs/>
          <w:spacing w:val="0"/>
          <w:sz w:val="22"/>
          <w:szCs w:val="22"/>
        </w:rPr>
      </w:pPr>
      <w:r>
        <w:rPr>
          <w:rFonts w:cs="Arial"/>
          <w:b w:val="false"/>
          <w:bCs/>
          <w:spacing w:val="0"/>
          <w:sz w:val="22"/>
          <w:szCs w:val="22"/>
        </w:rPr>
        <w:t>Erros de transcrição das quantidades do Projeto para a proposta: o produto será corrigido devidamente, mantendo-se o preço unitário e corrigindo-se a quantidade e o preço total;</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multiplicação do preço unitário pela quantidade correspondente: será retificado, mantendo-se o preço unitário e a quantidade e corrigindo-se o produto;</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Erro de adição: será retificado conservando as parcelas corretas e trocando-se a soma;</w:t>
      </w:r>
    </w:p>
    <w:p>
      <w:pPr>
        <w:pStyle w:val="Normal"/>
        <w:widowControl/>
        <w:numPr>
          <w:ilvl w:val="2"/>
          <w:numId w:val="4"/>
        </w:numPr>
        <w:tabs>
          <w:tab w:val="left" w:pos="851" w:leader="none"/>
          <w:tab w:val="left" w:pos="993" w:leader="none"/>
          <w:tab w:val="left" w:pos="1418" w:leader="none"/>
        </w:tabs>
        <w:suppressAutoHyphens w:val="false"/>
        <w:spacing w:lineRule="auto" w:line="276" w:before="0" w:after="120"/>
        <w:ind w:left="567" w:hanging="0"/>
        <w:jc w:val="both"/>
        <w:rPr>
          <w:rFonts w:ascii="Arial" w:hAnsi="Arial" w:cs="Arial"/>
          <w:sz w:val="22"/>
          <w:szCs w:val="22"/>
        </w:rPr>
      </w:pPr>
      <w:r>
        <w:rPr>
          <w:rFonts w:cs="Arial" w:ascii="Arial" w:hAnsi="Arial"/>
          <w:sz w:val="22"/>
          <w:szCs w:val="22"/>
        </w:rPr>
        <w:t>Verificado em qualquer momento, até o término do contrato, incoerências ou divergências de qualquer natureza nas composições dos preços unitários, será adotada a correção que resultar no menor valor.</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Com exceção das alterações, entrelinhas ou rasuras feitas pela Comissão de Licitação, necessárias para corrigir erros cometidos pelos Licitantes, não serão aceitas propostas contendo borrões, emendas ou rasuras.</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As Propostas de Preços serão analisadas, conferidas, corrigidas e classificadas por ordem crescente de valores corrigidos.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Atendida as condições do item acima, será considerado vencedor a proposta que resulte o </w:t>
      </w:r>
      <w:r>
        <w:rPr>
          <w:rFonts w:cs="Arial" w:ascii="Arial" w:hAnsi="Arial"/>
          <w:b/>
          <w:sz w:val="22"/>
          <w:szCs w:val="22"/>
        </w:rPr>
        <w:t>MENOR PREÇO GLOBAL</w:t>
      </w:r>
      <w:r>
        <w:rPr>
          <w:rFonts w:cs="Arial" w:ascii="Arial" w:hAnsi="Arial"/>
          <w:sz w:val="22"/>
          <w:szCs w:val="22"/>
        </w:rPr>
        <w:t xml:space="preserve"> para a obra, e caso ocorra empate entre duas ou mais propostas, a decisão será feita por sorteio.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PRAZO DE EXECUÇÃO DO OBJETO E PRAZO CONTRATUAL.</w:t>
      </w:r>
    </w:p>
    <w:p>
      <w:pPr>
        <w:pStyle w:val="Normal"/>
        <w:tabs>
          <w:tab w:val="left" w:pos="851" w:leader="none"/>
        </w:tabs>
        <w:spacing w:lineRule="auto" w:line="276" w:before="0" w:after="120"/>
        <w:jc w:val="both"/>
        <w:rPr>
          <w:rFonts w:ascii="Arial" w:hAnsi="Arial" w:cs="Arial"/>
          <w:b/>
          <w:b/>
          <w:sz w:val="22"/>
          <w:szCs w:val="22"/>
        </w:rPr>
      </w:pPr>
      <w:r>
        <w:rPr>
          <w:rFonts w:cs="Arial" w:ascii="Arial" w:hAnsi="Arial"/>
          <w:b/>
          <w:sz w:val="22"/>
          <w:szCs w:val="22"/>
        </w:rPr>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Execução do objeto será de </w:t>
      </w:r>
      <w:r>
        <w:rPr>
          <w:rFonts w:cs="Arial" w:ascii="Arial" w:hAnsi="Arial"/>
          <w:b/>
          <w:bCs/>
          <w:sz w:val="22"/>
          <w:szCs w:val="22"/>
        </w:rPr>
        <w:t>60 (sessenta</w:t>
      </w:r>
      <w:r>
        <w:rPr>
          <w:rFonts w:cs="Arial" w:ascii="Arial" w:hAnsi="Arial"/>
          <w:b/>
          <w:sz w:val="22"/>
          <w:szCs w:val="22"/>
        </w:rPr>
        <w:t>) dias a contar do recebimento da Ordem de Serviço (O.S.)</w:t>
      </w:r>
      <w:r>
        <w:rPr>
          <w:rFonts w:cs="Arial" w:ascii="Arial" w:hAnsi="Arial"/>
          <w:sz w:val="22"/>
          <w:szCs w:val="22"/>
        </w:rPr>
        <w:t xml:space="preserve"> e de acordo com o cronograma físico-financeiro estabelecido. </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O Prazo de Vigência Contratual será de </w:t>
      </w:r>
      <w:r>
        <w:rPr>
          <w:rFonts w:cs="Arial" w:ascii="Arial" w:hAnsi="Arial"/>
          <w:b/>
          <w:bCs/>
          <w:sz w:val="22"/>
          <w:szCs w:val="22"/>
        </w:rPr>
        <w:t>120 (C</w:t>
      </w:r>
      <w:r>
        <w:rPr>
          <w:rFonts w:cs="Arial" w:ascii="Arial" w:hAnsi="Arial"/>
          <w:b/>
          <w:sz w:val="22"/>
          <w:szCs w:val="22"/>
        </w:rPr>
        <w:t>ento e vinte) dias a contar da data da assinatura contratual.</w:t>
      </w:r>
    </w:p>
    <w:p>
      <w:pPr>
        <w:pStyle w:val="Normal"/>
        <w:widowControl/>
        <w:numPr>
          <w:ilvl w:val="1"/>
          <w:numId w:val="4"/>
        </w:numPr>
        <w:tabs>
          <w:tab w:val="left" w:pos="851" w:leader="none"/>
        </w:tabs>
        <w:suppressAutoHyphens w:val="false"/>
        <w:spacing w:lineRule="auto" w:line="276" w:before="0" w:after="120"/>
        <w:ind w:left="0" w:hanging="0"/>
        <w:jc w:val="both"/>
        <w:rPr/>
      </w:pPr>
      <w:r>
        <w:rPr>
          <w:rFonts w:cs="Arial" w:ascii="Arial" w:hAnsi="Arial"/>
          <w:sz w:val="22"/>
          <w:szCs w:val="22"/>
        </w:rPr>
        <w:t xml:space="preserve">Em caso de atraso na execução da obra, sem comprovação de condições adversas ou casos fortuitos, a empresa ficará sujeita às sanções preceituadas da Lei 8.666/93, bem como a aplicação das penalidades previstas no contrato. </w:t>
      </w:r>
    </w:p>
    <w:p>
      <w:pPr>
        <w:pStyle w:val="Normal"/>
        <w:widowControl/>
        <w:numPr>
          <w:ilvl w:val="1"/>
          <w:numId w:val="4"/>
        </w:numPr>
        <w:tabs>
          <w:tab w:val="left" w:pos="851" w:leader="none"/>
        </w:tabs>
        <w:suppressAutoHyphens w:val="false"/>
        <w:spacing w:lineRule="auto" w:line="276" w:before="0" w:after="120"/>
        <w:ind w:left="0" w:hanging="0"/>
        <w:jc w:val="both"/>
        <w:rPr>
          <w:rFonts w:ascii="Arial" w:hAnsi="Arial" w:cs="Arial"/>
          <w:sz w:val="22"/>
          <w:szCs w:val="22"/>
        </w:rPr>
      </w:pPr>
      <w:r>
        <w:rPr>
          <w:rFonts w:cs="Arial" w:ascii="Arial" w:hAnsi="Arial"/>
          <w:sz w:val="22"/>
          <w:szCs w:val="22"/>
        </w:rPr>
        <w:t>Os serviços de reforma serão executados concomitantemente aos serviços de ampliação da unidade conforme cronograma físico-financeiro anexo a este Termo de Referência.</w:t>
      </w:r>
    </w:p>
    <w:p>
      <w:pPr>
        <w:pStyle w:val="Normal"/>
        <w:tabs>
          <w:tab w:val="left" w:pos="851" w:leader="none"/>
        </w:tabs>
        <w:spacing w:lineRule="auto" w:line="276" w:before="0" w:after="120"/>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5" w:name="__DdeLink__518_576160097"/>
      <w:bookmarkEnd w:id="5"/>
      <w:r>
        <w:rPr>
          <w:rFonts w:cs="Arial"/>
          <w:bCs w:val="false"/>
          <w:sz w:val="22"/>
          <w:szCs w:val="22"/>
        </w:rPr>
        <w:t xml:space="preserve">DAS MEDIÇÕES. </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As medições mensais serão baseadas nas avaliações dos serviços realizados e serão feitas pela Equipe de Fiscalização, devidamente acompanhado por um ou mais representante(s) designado(s) pela Contratada.</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O controle físico do andamento da obra será efetuado de acordo com os prazos de execução e marcos contratuais definidos no</w:t>
      </w:r>
      <w:r>
        <w:rPr>
          <w:rFonts w:cs="Arial" w:ascii="Arial" w:hAnsi="Arial"/>
          <w:b/>
          <w:sz w:val="22"/>
          <w:szCs w:val="22"/>
        </w:rPr>
        <w:t xml:space="preserve"> Cronograma Físico-Financeiro da Obra em anexo</w:t>
      </w:r>
      <w:r>
        <w:rPr>
          <w:rFonts w:cs="Arial" w:ascii="Arial" w:hAnsi="Arial"/>
          <w:sz w:val="22"/>
          <w:szCs w:val="22"/>
        </w:rPr>
        <w:t>, podendo ser adequado conforme a necessidade do Município de Itajaí verificada no decorrer das obras.</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Dada a Ordem se Serviço pela Contratante, é obrigatório à </w:t>
      </w:r>
      <w:r>
        <w:rPr>
          <w:rFonts w:cs="Arial" w:ascii="Arial" w:hAnsi="Arial"/>
          <w:b/>
          <w:sz w:val="22"/>
          <w:szCs w:val="22"/>
        </w:rPr>
        <w:t xml:space="preserve">abertura do “Diário de Obra” ou “Registro de Ocorrências” nos Termos da Instrução Normativa 005 – CMA/2006 – </w:t>
      </w:r>
      <w:r>
        <w:rPr>
          <w:rFonts w:cs="Arial" w:ascii="Arial" w:hAnsi="Arial"/>
          <w:sz w:val="22"/>
          <w:szCs w:val="22"/>
        </w:rPr>
        <w:t xml:space="preserve">(que disciplina sobre os procedimentos para o encaminhamento dos pedidos de licitações, execução, fiscalização, recebimento provisório/definitivo e pagamento de obras e serviços de engenharia, e dá outras providências). </w:t>
      </w:r>
    </w:p>
    <w:p>
      <w:pPr>
        <w:pStyle w:val="Corpodetexto"/>
        <w:widowControl/>
        <w:numPr>
          <w:ilvl w:val="1"/>
          <w:numId w:val="4"/>
        </w:numPr>
        <w:tabs>
          <w:tab w:val="left" w:pos="851" w:leader="none"/>
        </w:tabs>
        <w:suppressAutoHyphens w:val="false"/>
        <w:spacing w:lineRule="auto" w:line="276"/>
        <w:ind w:left="0" w:hanging="0"/>
        <w:jc w:val="both"/>
        <w:rPr>
          <w:rFonts w:ascii="Arial" w:hAnsi="Arial" w:cs="Arial"/>
          <w:sz w:val="22"/>
          <w:szCs w:val="22"/>
        </w:rPr>
      </w:pPr>
      <w:r>
        <w:rPr>
          <w:rFonts w:cs="Arial" w:ascii="Arial" w:hAnsi="Arial"/>
          <w:sz w:val="22"/>
          <w:szCs w:val="22"/>
        </w:rPr>
        <w:t xml:space="preserve">Os quantitativos de serviços efetivamente executados pela licitante vencedora serão medidos parcial e mensalmente pela </w:t>
      </w:r>
      <w:r>
        <w:rPr>
          <w:rFonts w:cs="Arial" w:ascii="Arial" w:hAnsi="Arial"/>
          <w:b/>
          <w:sz w:val="22"/>
          <w:szCs w:val="22"/>
        </w:rPr>
        <w:t>Secretaria Municipal de Educação</w:t>
      </w:r>
      <w:r>
        <w:rPr>
          <w:rFonts w:cs="Arial" w:ascii="Arial" w:hAnsi="Arial"/>
          <w:sz w:val="22"/>
          <w:szCs w:val="22"/>
        </w:rPr>
        <w:t>, lançados no Boletim de Medição, que depois de conferidos, serão assinados pelos: Responsável Técnico da licitante vencedora, pelo(s) Fiscal(is) devidamente designado(s) pela Contratante.</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r>
        <w:rPr>
          <w:rFonts w:cs="Arial"/>
          <w:bCs w:val="false"/>
          <w:sz w:val="22"/>
          <w:szCs w:val="22"/>
        </w:rPr>
        <w:t>DOS CRITÉRIOS E FORMA DE PAGAMENTO.</w:t>
      </w:r>
    </w:p>
    <w:p>
      <w:pPr>
        <w:pStyle w:val="Normal"/>
        <w:tabs>
          <w:tab w:val="left" w:pos="851" w:leader="none"/>
        </w:tabs>
        <w:spacing w:lineRule="auto" w:line="276" w:before="0" w:after="120"/>
        <w:rPr>
          <w:rFonts w:ascii="Arial" w:hAnsi="Arial" w:cs="Arial"/>
          <w:sz w:val="22"/>
          <w:szCs w:val="22"/>
        </w:rPr>
      </w:pPr>
      <w:r>
        <w:rPr>
          <w:rFonts w:cs="Arial" w:ascii="Arial" w:hAnsi="Arial"/>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estabelecidos no cronograma Físico-Financeiro,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14.2.  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14.3.  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w:t>
      </w:r>
      <w:r>
        <w:rPr>
          <w:rFonts w:eastAsia="Calibri" w:cs="Arial" w:ascii="Arial" w:hAnsi="Arial"/>
          <w:b/>
          <w:sz w:val="22"/>
          <w:szCs w:val="22"/>
        </w:rPr>
        <w:t xml:space="preserve">alíquota de INSS </w:t>
      </w:r>
      <w:r>
        <w:rPr>
          <w:rFonts w:eastAsia="Calibri" w:cs="Arial" w:ascii="Arial" w:hAnsi="Arial"/>
          <w:sz w:val="22"/>
          <w:szCs w:val="22"/>
        </w:rPr>
        <w:t xml:space="preserve">conforme </w:t>
      </w:r>
      <w:r>
        <w:rPr>
          <w:rFonts w:eastAsia="Calibri" w:cs="Arial" w:ascii="Arial" w:hAnsi="Arial"/>
          <w:b/>
          <w:sz w:val="22"/>
          <w:szCs w:val="22"/>
        </w:rPr>
        <w:t>Lei Federal RBF 971 (Art. 450 e 451)</w:t>
      </w:r>
      <w:r>
        <w:rPr>
          <w:rFonts w:eastAsia="Calibri" w:cs="Arial" w:ascii="Arial" w:hAnsi="Arial"/>
          <w:sz w:val="22"/>
          <w:szCs w:val="22"/>
        </w:rPr>
        <w:t>.</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14.4.    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14.5.  O primeiro pagamento somente será efetuado após a comprovação por parte da licitante vencedora de que o contrato teve </w:t>
      </w:r>
      <w:r>
        <w:rPr>
          <w:rFonts w:cs="Arial" w:ascii="Arial" w:hAnsi="Arial"/>
          <w:b/>
          <w:sz w:val="22"/>
          <w:szCs w:val="22"/>
        </w:rPr>
        <w:t>Anotação de Responsabilidade Técnica</w:t>
      </w:r>
      <w:r>
        <w:rPr>
          <w:rFonts w:cs="Arial" w:ascii="Arial" w:hAnsi="Arial"/>
          <w:sz w:val="22"/>
          <w:szCs w:val="22"/>
        </w:rPr>
        <w:t xml:space="preserve"> </w:t>
      </w:r>
      <w:r>
        <w:rPr>
          <w:rFonts w:cs="Arial" w:ascii="Arial" w:hAnsi="Arial"/>
          <w:b/>
          <w:sz w:val="22"/>
          <w:szCs w:val="22"/>
        </w:rPr>
        <w:t>– ART</w:t>
      </w:r>
      <w:r>
        <w:rPr>
          <w:rFonts w:cs="Arial" w:ascii="Arial" w:hAnsi="Arial"/>
          <w:sz w:val="22"/>
          <w:szCs w:val="22"/>
        </w:rPr>
        <w:t xml:space="preserve"> ou </w:t>
      </w:r>
      <w:r>
        <w:rPr>
          <w:rFonts w:cs="Arial" w:ascii="Arial" w:hAnsi="Arial"/>
          <w:b/>
          <w:sz w:val="22"/>
          <w:szCs w:val="22"/>
        </w:rPr>
        <w:t>Registro de Responsabilidade Técnica</w:t>
      </w:r>
      <w:r>
        <w:rPr>
          <w:rFonts w:cs="Arial" w:ascii="Arial" w:hAnsi="Arial"/>
          <w:sz w:val="22"/>
          <w:szCs w:val="22"/>
        </w:rPr>
        <w:t xml:space="preserve"> </w:t>
      </w:r>
      <w:r>
        <w:rPr>
          <w:rFonts w:cs="Arial" w:ascii="Arial" w:hAnsi="Arial"/>
          <w:b/>
          <w:sz w:val="22"/>
          <w:szCs w:val="22"/>
        </w:rPr>
        <w:t>- RRT</w:t>
      </w:r>
      <w:r>
        <w:rPr>
          <w:rFonts w:cs="Arial" w:ascii="Arial" w:hAnsi="Arial"/>
          <w:sz w:val="22"/>
          <w:szCs w:val="22"/>
        </w:rPr>
        <w:t>, efetuada no CREA-SC ou CAU-SC.</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14.6. A licitante vencedora deverá apresentar a documentação de cobrança, obrigatoriamente no Município </w:t>
      </w:r>
      <w:r>
        <w:rPr>
          <w:rFonts w:cs="Arial" w:ascii="Arial" w:hAnsi="Arial"/>
          <w:bCs/>
          <w:sz w:val="22"/>
          <w:szCs w:val="22"/>
        </w:rPr>
        <w:t>de Itajaí</w:t>
      </w:r>
      <w:r>
        <w:rPr>
          <w:rFonts w:cs="Arial" w:ascii="Arial" w:hAnsi="Arial"/>
          <w:sz w:val="22"/>
          <w:szCs w:val="22"/>
        </w:rPr>
        <w:t>, com o valor expresso em moeda corrente nacional, mediante a emissão de nota fiscal, observadas as exigências da legislação tributária.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14.7. </w:t>
      </w:r>
      <w:bookmarkStart w:id="6" w:name="_Ref128369793"/>
      <w:bookmarkEnd w:id="6"/>
      <w:r>
        <w:rPr>
          <w:rFonts w:cs="Arial" w:ascii="Arial" w:hAnsi="Arial"/>
          <w:sz w:val="22"/>
          <w:szCs w:val="22"/>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14.8. 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14.9.  Caso não haja a comprovação do recolhimento das obrigações sociais o                            pagamento será suspenso até comprovada sua regularização. </w:t>
      </w:r>
    </w:p>
    <w:p>
      <w:pPr>
        <w:pStyle w:val="Corpodetexto"/>
        <w:tabs>
          <w:tab w:val="left" w:pos="851" w:leader="none"/>
        </w:tabs>
        <w:spacing w:lineRule="auto" w:line="276"/>
        <w:rPr/>
      </w:pPr>
      <w:r>
        <w:rPr>
          <w:rFonts w:cs="Arial" w:ascii="Arial" w:hAnsi="Arial"/>
          <w:sz w:val="22"/>
          <w:szCs w:val="22"/>
        </w:rPr>
        <w:t>14.10. A última parcela somente será liberada, depois de cumpridas todas as condições exigidas no instrumento contratual a ser firmado com a licitante vencedora.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pPr>
      <w:bookmarkStart w:id="7" w:name="_Toc176842519"/>
      <w:bookmarkStart w:id="8" w:name="_Toc176842561"/>
      <w:bookmarkStart w:id="9" w:name="_Toc176842631"/>
      <w:bookmarkStart w:id="10" w:name="_Toc176847504"/>
      <w:r>
        <w:rPr>
          <w:rFonts w:cs="Arial"/>
          <w:bCs w:val="false"/>
          <w:sz w:val="22"/>
          <w:szCs w:val="22"/>
        </w:rPr>
        <w:t>15.  DAS CONDIÇÕES DE SEGURANÇA DO TRABALHO</w:t>
      </w:r>
      <w:bookmarkEnd w:id="7"/>
      <w:bookmarkEnd w:id="8"/>
      <w:bookmarkEnd w:id="9"/>
      <w:bookmarkEnd w:id="10"/>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cs="Arial" w:ascii="Arial" w:hAnsi="Arial"/>
          <w:bCs/>
          <w:sz w:val="22"/>
          <w:szCs w:val="22"/>
        </w:rPr>
        <w:t>de Itajaí</w:t>
      </w:r>
      <w:r>
        <w:rPr>
          <w:rFonts w:cs="Arial" w:ascii="Arial" w:hAnsi="Arial"/>
          <w:sz w:val="22"/>
          <w:szCs w:val="22"/>
        </w:rPr>
        <w:t xml:space="preserve"> e ao público afeto e dos materiais envolvidos na obra e/ou serviço, de acordo com as normas regulamentadas pelo Ministério do Trabalho, bem como outros dispositivos legais e normas específicas do Município</w:t>
      </w:r>
      <w:r>
        <w:rPr>
          <w:rFonts w:cs="Arial" w:ascii="Arial" w:hAnsi="Arial"/>
          <w:bCs/>
          <w:sz w:val="22"/>
          <w:szCs w:val="22"/>
        </w:rPr>
        <w:t xml:space="preserve"> de Itajaí</w:t>
      </w:r>
      <w:r>
        <w:rPr>
          <w:rFonts w:cs="Arial" w:ascii="Arial" w:hAnsi="Arial"/>
          <w:sz w:val="22"/>
          <w:szCs w:val="22"/>
        </w:rPr>
        <w:t>.</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15.2.  O Município</w:t>
      </w:r>
      <w:r>
        <w:rPr>
          <w:rFonts w:cs="Arial" w:ascii="Arial" w:hAnsi="Arial"/>
          <w:bCs/>
          <w:sz w:val="22"/>
          <w:szCs w:val="22"/>
        </w:rPr>
        <w:t xml:space="preserve"> de Itajaí</w:t>
      </w:r>
      <w:r>
        <w:rPr>
          <w:rFonts w:cs="Arial" w:ascii="Arial" w:hAnsi="Arial"/>
          <w:sz w:val="22"/>
          <w:szCs w:val="22"/>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t>15.3. A licitante vencedora se responsabilizará, ainda, por atrasos ou prejuízos decorrentes da suspensão dos trabalhos quando não acatar a legislação básica vigente na época, no que se referir à Engenharia de Segurança e Medicina do Trabalho.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1" w:name="_Toc176842520"/>
      <w:bookmarkStart w:id="12" w:name="_Toc176842562"/>
      <w:bookmarkStart w:id="13" w:name="_Toc176842632"/>
      <w:bookmarkStart w:id="14" w:name="_Toc176847505"/>
      <w:r>
        <w:rPr>
          <w:rFonts w:cs="Arial"/>
          <w:bCs w:val="false"/>
          <w:sz w:val="22"/>
          <w:szCs w:val="22"/>
        </w:rPr>
        <w:t>DA PARALISAÇÃO DOS SERVIÇOS</w:t>
      </w:r>
      <w:bookmarkEnd w:id="11"/>
      <w:bookmarkEnd w:id="12"/>
      <w:bookmarkEnd w:id="13"/>
      <w:bookmarkEnd w:id="14"/>
      <w:r>
        <w:rPr>
          <w:rFonts w:cs="Arial"/>
          <w:bCs w:val="false"/>
          <w:sz w:val="22"/>
          <w:szCs w:val="22"/>
        </w:rPr>
        <w:t>.</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jc w:val="both"/>
        <w:rPr/>
      </w:pPr>
      <w:r>
        <w:rPr>
          <w:rFonts w:cs="Arial" w:ascii="Arial" w:hAnsi="Arial"/>
          <w:sz w:val="22"/>
          <w:szCs w:val="22"/>
        </w:rPr>
        <w:t>16.1. O M</w:t>
      </w:r>
      <w:r>
        <w:rPr>
          <w:rFonts w:cs="Arial" w:ascii="Arial" w:hAnsi="Arial"/>
          <w:bCs/>
          <w:sz w:val="22"/>
          <w:szCs w:val="22"/>
        </w:rPr>
        <w:t>unicípio de Itajaí</w:t>
      </w:r>
      <w:r>
        <w:rPr>
          <w:rFonts w:cs="Arial" w:ascii="Arial" w:hAnsi="Arial"/>
          <w:sz w:val="22"/>
          <w:szCs w:val="22"/>
        </w:rPr>
        <w:t>, por conveniência administrativa ou técnica, se reserva o direito de paralisar, a qualquer tempo, a execução dos serviços, cientificando oficialmente à licitante vencedora tal decisão, nos prazos e termos permitidos em lei.</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rFonts w:cs="Arial"/>
          <w:bCs w:val="false"/>
          <w:sz w:val="22"/>
          <w:szCs w:val="22"/>
        </w:rPr>
      </w:pPr>
      <w:bookmarkStart w:id="15" w:name="_Toc176842521"/>
      <w:bookmarkStart w:id="16" w:name="_Toc176842563"/>
      <w:bookmarkStart w:id="17" w:name="_Toc176842633"/>
      <w:bookmarkStart w:id="18" w:name="_Toc176847506"/>
      <w:r>
        <w:rPr>
          <w:rFonts w:cs="Arial"/>
          <w:bCs w:val="false"/>
          <w:sz w:val="22"/>
          <w:szCs w:val="22"/>
        </w:rPr>
        <w:t>DO RECEBIMENTO DA OBRA, SERVIÇOS E MATERIAIS</w:t>
      </w:r>
      <w:bookmarkEnd w:id="15"/>
      <w:bookmarkEnd w:id="16"/>
      <w:bookmarkEnd w:id="17"/>
      <w:bookmarkEnd w:id="18"/>
      <w:r>
        <w:rPr>
          <w:rFonts w:cs="Arial"/>
          <w:bCs w:val="false"/>
          <w:sz w:val="22"/>
          <w:szCs w:val="22"/>
        </w:rPr>
        <w:t>.</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 xml:space="preserve">17.1. Para o recebimento das obras e serviços e dos materiais fornecidos será através da comissão de recebimento estabelecida pela </w:t>
      </w:r>
      <w:r>
        <w:rPr>
          <w:rFonts w:cs="Arial" w:ascii="Arial" w:hAnsi="Arial"/>
          <w:b/>
          <w:sz w:val="22"/>
          <w:szCs w:val="22"/>
        </w:rPr>
        <w:t>PORTARIA N° 1591/17</w:t>
      </w:r>
      <w:r>
        <w:rPr>
          <w:rFonts w:cs="Arial" w:ascii="Arial" w:hAnsi="Arial"/>
          <w:sz w:val="22"/>
          <w:szCs w:val="22"/>
        </w:rPr>
        <w:t xml:space="preserve">, composta por 03 (três) membros/técnicos da Diretoria de Infraestrutura Escolar, , que vistoriará as obras e serviços e emitirá </w:t>
      </w:r>
      <w:r>
        <w:rPr>
          <w:rFonts w:cs="Arial" w:ascii="Arial" w:hAnsi="Arial"/>
          <w:b/>
          <w:sz w:val="22"/>
          <w:szCs w:val="22"/>
        </w:rPr>
        <w:t>TERMO DE RECEBIMENTO DEFINITIVO</w:t>
      </w:r>
      <w:r>
        <w:rPr>
          <w:rFonts w:cs="Arial" w:ascii="Arial" w:hAnsi="Arial"/>
          <w:sz w:val="22"/>
          <w:szCs w:val="22"/>
        </w:rPr>
        <w:t xml:space="preserve">, no prazo não superior a 90 (noventa) dias após o decurso do prazo de vistoria que comprove a adequação do objeto aos termos contratuais, observado o disposto no art. 69 da lei 8.666/93, ou </w:t>
      </w:r>
      <w:r>
        <w:rPr>
          <w:rFonts w:cs="Arial" w:ascii="Arial" w:hAnsi="Arial"/>
          <w:b/>
          <w:sz w:val="22"/>
          <w:szCs w:val="22"/>
        </w:rPr>
        <w:t>PROVISÓRIO</w:t>
      </w:r>
      <w:r>
        <w:rPr>
          <w:rFonts w:cs="Arial" w:ascii="Arial" w:hAnsi="Arial"/>
          <w:sz w:val="22"/>
          <w:szCs w:val="22"/>
        </w:rPr>
        <w:t>, em até 15 (quinze) dias da comunicação escrita da CONTRATADA, a seu critério.</w:t>
      </w:r>
    </w:p>
    <w:p>
      <w:pPr>
        <w:pStyle w:val="Corpodetexto"/>
        <w:tabs>
          <w:tab w:val="left" w:pos="851" w:leader="none"/>
        </w:tabs>
        <w:spacing w:lineRule="auto" w:line="276"/>
        <w:jc w:val="both"/>
        <w:rPr/>
      </w:pPr>
      <w:r>
        <w:rPr>
          <w:rFonts w:cs="Arial" w:ascii="Arial" w:hAnsi="Arial"/>
          <w:sz w:val="22"/>
          <w:szCs w:val="22"/>
        </w:rPr>
        <w:t>17.2. O termo de recebimento definitivo das obras e serviços, não isenta a licitante vencedora das cominações previstas na legislação civil em vigor, dentro dos limites estabelecidos pela lei ou pelo contrato.</w:t>
      </w:r>
    </w:p>
    <w:p>
      <w:pPr>
        <w:pStyle w:val="Corpodetexto"/>
        <w:tabs>
          <w:tab w:val="left" w:pos="851" w:leader="none"/>
        </w:tabs>
        <w:spacing w:lineRule="auto" w:line="276"/>
        <w:jc w:val="both"/>
        <w:rPr>
          <w:rFonts w:ascii="Arial" w:hAnsi="Arial" w:cs="Arial"/>
          <w:sz w:val="22"/>
          <w:szCs w:val="22"/>
        </w:rPr>
      </w:pPr>
      <w:r>
        <w:rPr>
          <w:rFonts w:cs="Arial" w:ascii="Arial" w:hAnsi="Arial"/>
          <w:sz w:val="22"/>
          <w:szCs w:val="22"/>
        </w:rPr>
      </w:r>
    </w:p>
    <w:p>
      <w:pPr>
        <w:pStyle w:val="Ttulo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uppressAutoHyphens w:val="false"/>
        <w:spacing w:lineRule="auto" w:line="276" w:before="0" w:after="0"/>
        <w:ind w:left="0" w:hanging="0"/>
        <w:jc w:val="both"/>
        <w:rPr/>
      </w:pPr>
      <w:r>
        <w:rPr>
          <w:rFonts w:cs="Arial"/>
          <w:bCs w:val="false"/>
          <w:sz w:val="22"/>
          <w:szCs w:val="22"/>
        </w:rPr>
        <w:t>DA RESCISÃO DO CONTRATO.</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jc w:val="both"/>
        <w:rPr/>
      </w:pPr>
      <w:r>
        <w:rPr>
          <w:rFonts w:cs="Arial" w:ascii="Arial" w:hAnsi="Arial"/>
          <w:sz w:val="22"/>
          <w:szCs w:val="22"/>
        </w:rPr>
        <w:t>18.1. O contrato a ser firmado com a licitante vencedora poderá ser rescindido de pleno direito pelos motivos previstos nos artigos 77, 78, 79 e 80, da lei nº 8.666/63 e suas alterações.</w:t>
      </w:r>
      <w:r>
        <w:rPr>
          <w:rFonts w:cs="Arial" w:ascii="Arial" w:hAnsi="Arial"/>
          <w:sz w:val="22"/>
          <w:szCs w:val="22"/>
          <w:lang w:eastAsia="ar-SA"/>
        </w:rPr>
        <w:t xml:space="preserve"> </w:t>
      </w:r>
      <w:r>
        <w:rPr>
          <w:rFonts w:cs="Arial" w:ascii="Arial" w:hAnsi="Arial"/>
          <w:sz w:val="22"/>
          <w:szCs w:val="22"/>
        </w:rPr>
        <w:t>A falta de pagamento das obrigações patronais por parte da licitante vencedora sujeitará à rescisão sumária do contrato.</w:t>
      </w:r>
    </w:p>
    <w:p>
      <w:pPr>
        <w:pStyle w:val="Corpodetexto"/>
        <w:tabs>
          <w:tab w:val="left" w:pos="851" w:leader="none"/>
        </w:tabs>
        <w:spacing w:lineRule="auto" w:line="276"/>
        <w:jc w:val="both"/>
        <w:rPr/>
      </w:pPr>
      <w:r>
        <w:rPr>
          <w:rFonts w:cs="Arial" w:ascii="Arial" w:hAnsi="Arial"/>
          <w:sz w:val="22"/>
          <w:szCs w:val="22"/>
        </w:rPr>
        <w:t>18.2. Sob nenhum aspecto será admitido, por parte da licitante vencedora, exceção de contrato não cumprido, em face da Administração, exceto nos casos admitidos pela Lei nº 8.666/93.</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Ttulo1"/>
        <w:pBdr>
          <w:top w:val="single" w:sz="4" w:space="1" w:color="00000A"/>
          <w:left w:val="single" w:sz="4" w:space="4" w:color="00000A"/>
          <w:bottom w:val="single" w:sz="4" w:space="1" w:color="00000A"/>
          <w:right w:val="single" w:sz="4" w:space="4" w:color="00000A"/>
        </w:pBdr>
        <w:shd w:val="clear" w:color="auto" w:fill="BFBFBF"/>
        <w:tabs>
          <w:tab w:val="left" w:pos="0" w:leader="none"/>
          <w:tab w:val="left" w:pos="851" w:leader="none"/>
        </w:tabs>
        <w:spacing w:lineRule="auto" w:line="276" w:before="0" w:after="0"/>
        <w:jc w:val="both"/>
        <w:rPr>
          <w:rFonts w:cs="Arial"/>
          <w:bCs w:val="false"/>
          <w:sz w:val="22"/>
          <w:szCs w:val="22"/>
        </w:rPr>
      </w:pPr>
      <w:r>
        <w:rPr>
          <w:rFonts w:cs="Arial"/>
          <w:bCs w:val="false"/>
          <w:sz w:val="22"/>
          <w:szCs w:val="22"/>
        </w:rPr>
        <w:t>19.  CONSIDERAÇÕES GERAIS A CONTRATADA.</w:t>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Corpodetexto"/>
        <w:tabs>
          <w:tab w:val="left" w:pos="851" w:leader="none"/>
        </w:tabs>
        <w:spacing w:lineRule="auto" w:line="276"/>
        <w:rPr>
          <w:rFonts w:ascii="Arial" w:hAnsi="Arial" w:cs="Arial"/>
          <w:b/>
          <w:b/>
          <w:sz w:val="22"/>
          <w:szCs w:val="22"/>
        </w:rPr>
      </w:pPr>
      <w:r>
        <w:rPr>
          <w:rFonts w:cs="Arial" w:ascii="Arial" w:hAnsi="Arial"/>
          <w:b/>
          <w:sz w:val="22"/>
          <w:szCs w:val="22"/>
        </w:rPr>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 Assumir inteira responsabilidade civil, administrativa e penal por quaisquer danos e prejuízos materiais ou pessoais causados pela contratada, seus empregados ou prepostos, à contratante ou a terceiros.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19.2. Aceitar, nas mesmas condições contratuais, e estimativas dos preços, os acréscimos ou supressões que se fizerem necessárias nos serviços até 50% (cinquenta por cento) do valor estimado inicialmente.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19.3. Manter durante toda a execução do contrato, a compatibilidade com as obrigações assumidas, bem como as condições de habilitação e qualificação exigida para a contratação.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19.4. Cumprir o cronograma de execução dos serviços, justificando sempre eventuais atrasos e reajustando caso seja necessário e/ou solicitado pela contratante.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19.5. Obedecer às exigências contidas no projeto de engenharia, planilha orçamentária, memorial descritivo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19.6. Acompanhar a execução dos serviços de acordo com o proposto no projeto de engenharia, planilha orçamentária, memoriais descritivos e demais anexos.</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19.7. Fornecimento de mão de obra especializada, qualificada e capacitada.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19.8. Fornecer materiais de primeira qualidade.</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19.9. Responsabilidade pela segurança dos empregados durante o período da obra.</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 xml:space="preserve">19.10. Solicitar o pedido das instalações provisórias de água e energia elétrica para </w:t>
      </w:r>
      <w:r>
        <w:rPr>
          <w:rFonts w:eastAsia="Calibri" w:cs="Arial" w:ascii="Arial" w:hAnsi="Arial"/>
          <w:b/>
          <w:sz w:val="22"/>
          <w:szCs w:val="22"/>
        </w:rPr>
        <w:t>SEMASA</w:t>
      </w:r>
      <w:r>
        <w:rPr>
          <w:rFonts w:eastAsia="Calibri" w:cs="Arial" w:ascii="Arial" w:hAnsi="Arial"/>
          <w:sz w:val="22"/>
          <w:szCs w:val="22"/>
        </w:rPr>
        <w:t xml:space="preserve"> e </w:t>
      </w:r>
      <w:r>
        <w:rPr>
          <w:rFonts w:eastAsia="Calibri" w:cs="Arial" w:ascii="Arial" w:hAnsi="Arial"/>
          <w:b/>
          <w:sz w:val="22"/>
          <w:szCs w:val="22"/>
        </w:rPr>
        <w:t>CELESC</w:t>
      </w:r>
      <w:r>
        <w:rPr>
          <w:rFonts w:eastAsia="Calibri" w:cs="Arial" w:ascii="Arial" w:hAnsi="Arial"/>
          <w:sz w:val="22"/>
          <w:szCs w:val="22"/>
        </w:rPr>
        <w:t xml:space="preserve"> respectivamente em nome da </w:t>
      </w:r>
      <w:r>
        <w:rPr>
          <w:rFonts w:eastAsia="Calibri" w:cs="Arial" w:ascii="Arial" w:hAnsi="Arial"/>
          <w:b/>
          <w:sz w:val="22"/>
          <w:szCs w:val="22"/>
        </w:rPr>
        <w:t>EMPRESA</w:t>
      </w:r>
      <w:r>
        <w:rPr>
          <w:rFonts w:eastAsia="Calibri" w:cs="Arial" w:ascii="Arial" w:hAnsi="Arial"/>
          <w:sz w:val="22"/>
          <w:szCs w:val="22"/>
        </w:rPr>
        <w:t xml:space="preserve"> </w:t>
      </w:r>
      <w:r>
        <w:rPr>
          <w:rFonts w:eastAsia="Calibri" w:cs="Arial" w:ascii="Arial" w:hAnsi="Arial"/>
          <w:b/>
          <w:sz w:val="22"/>
          <w:szCs w:val="22"/>
        </w:rPr>
        <w:t xml:space="preserve">CONTRATADA </w:t>
      </w:r>
      <w:r>
        <w:rPr>
          <w:rFonts w:eastAsia="Calibri" w:cs="Arial" w:ascii="Arial" w:hAnsi="Arial"/>
          <w:sz w:val="22"/>
          <w:szCs w:val="22"/>
        </w:rPr>
        <w:t>caso necessário.</w:t>
      </w:r>
    </w:p>
    <w:p>
      <w:pPr>
        <w:pStyle w:val="Normal"/>
        <w:tabs>
          <w:tab w:val="left" w:pos="851" w:leader="none"/>
        </w:tabs>
        <w:spacing w:lineRule="auto" w:line="276" w:before="0" w:after="120"/>
        <w:jc w:val="both"/>
        <w:rPr>
          <w:rFonts w:ascii="Arial" w:hAnsi="Arial" w:eastAsia="Calibri" w:cs="Arial"/>
          <w:sz w:val="22"/>
          <w:szCs w:val="22"/>
        </w:rPr>
      </w:pPr>
      <w:r>
        <w:rPr>
          <w:rFonts w:eastAsia="Calibri" w:cs="Arial" w:ascii="Arial" w:hAnsi="Arial"/>
          <w:sz w:val="22"/>
          <w:szCs w:val="22"/>
        </w:rPr>
        <w:t>19.11. Todas as despesas necessárias à execução do objeto desta licitação, tais como: Pessoal; Obrigações Trabalhistas; Pagamentos das faturas de</w:t>
      </w:r>
      <w:r>
        <w:rPr>
          <w:rFonts w:eastAsia="Calibri" w:cs="Arial" w:ascii="Arial" w:hAnsi="Arial"/>
          <w:b/>
          <w:sz w:val="22"/>
          <w:szCs w:val="22"/>
        </w:rPr>
        <w:t xml:space="preserve"> ENERGIA ELÉTRICA </w:t>
      </w:r>
      <w:r>
        <w:rPr>
          <w:rFonts w:eastAsia="Calibri" w:cs="Arial" w:ascii="Arial" w:hAnsi="Arial"/>
          <w:sz w:val="22"/>
          <w:szCs w:val="22"/>
        </w:rPr>
        <w:t>e</w:t>
      </w:r>
      <w:r>
        <w:rPr>
          <w:rFonts w:eastAsia="Calibri" w:cs="Arial" w:ascii="Arial" w:hAnsi="Arial"/>
          <w:b/>
          <w:sz w:val="22"/>
          <w:szCs w:val="22"/>
        </w:rPr>
        <w:t xml:space="preserve"> ÁGUA </w:t>
      </w:r>
      <w:r>
        <w:rPr>
          <w:rFonts w:eastAsia="Calibri" w:cs="Arial" w:ascii="Arial" w:hAnsi="Arial"/>
          <w:sz w:val="22"/>
          <w:szCs w:val="22"/>
        </w:rPr>
        <w:t>as quais se fará em nome da empresa contratada até o recebimento da obra; Obrigações Previdenciárias, Fiscais, Securitárias e etc., correrão, exclusivamente, às custas do proponente vencedor.</w:t>
      </w:r>
    </w:p>
    <w:p>
      <w:pPr>
        <w:pStyle w:val="Normal"/>
        <w:tabs>
          <w:tab w:val="left" w:pos="851" w:leader="none"/>
        </w:tabs>
        <w:spacing w:lineRule="auto" w:line="276" w:before="0" w:after="120"/>
        <w:jc w:val="both"/>
        <w:rPr/>
      </w:pPr>
      <w:r>
        <w:rPr>
          <w:rFonts w:eastAsia="Calibri" w:cs="Arial" w:ascii="Arial" w:hAnsi="Arial"/>
          <w:sz w:val="22"/>
          <w:szCs w:val="22"/>
        </w:rPr>
        <w:t xml:space="preserve">19.12. Indicar o profissional </w:t>
      </w:r>
      <w:r>
        <w:rPr>
          <w:rFonts w:eastAsia="Calibri" w:cs="Arial" w:ascii="Arial" w:hAnsi="Arial"/>
          <w:b/>
          <w:sz w:val="22"/>
          <w:szCs w:val="22"/>
        </w:rPr>
        <w:t>“PREPOSTO”</w:t>
      </w:r>
      <w:r>
        <w:rPr>
          <w:rFonts w:eastAsia="Calibri" w:cs="Arial" w:ascii="Arial" w:hAnsi="Arial"/>
          <w:sz w:val="22"/>
          <w:szCs w:val="22"/>
        </w:rPr>
        <w:t xml:space="preserve"> para dirigir a execução dos trabalhos.</w:t>
      </w:r>
    </w:p>
    <w:p>
      <w:pPr>
        <w:pStyle w:val="Normal"/>
        <w:tabs>
          <w:tab w:val="left" w:pos="851" w:leader="none"/>
        </w:tabs>
        <w:spacing w:lineRule="auto" w:line="276" w:before="0" w:after="120"/>
        <w:jc w:val="both"/>
        <w:rPr/>
      </w:pPr>
      <w:r>
        <w:rPr>
          <w:rFonts w:eastAsia="Calibri" w:cs="Arial" w:ascii="Arial" w:hAnsi="Arial"/>
          <w:sz w:val="22"/>
          <w:szCs w:val="22"/>
        </w:rPr>
        <w:t xml:space="preserve">19.13. Manter </w:t>
      </w:r>
      <w:r>
        <w:rPr>
          <w:rFonts w:eastAsia="Calibri" w:cs="Arial" w:ascii="Arial" w:hAnsi="Arial"/>
          <w:b/>
          <w:sz w:val="22"/>
          <w:szCs w:val="22"/>
        </w:rPr>
        <w:t>DIÁRIO DE OBRAS</w:t>
      </w:r>
      <w:r>
        <w:rPr>
          <w:rFonts w:eastAsia="Calibri" w:cs="Arial" w:ascii="Arial" w:hAnsi="Arial"/>
          <w:sz w:val="22"/>
          <w:szCs w:val="22"/>
        </w:rPr>
        <w:t xml:space="preserve"> devidamente atualizado durante a execução da obra e </w:t>
      </w:r>
      <w:r>
        <w:rPr>
          <w:rFonts w:eastAsia="Calibri" w:cs="Arial" w:ascii="Arial" w:hAnsi="Arial"/>
          <w:b/>
          <w:sz w:val="22"/>
          <w:szCs w:val="22"/>
        </w:rPr>
        <w:t>PRESENTE NO CANTEIRO DE OBRAS E DE FÁCIL ACESSO PARA COM A FISCALIZAÇÃO</w:t>
      </w:r>
      <w:r>
        <w:rPr>
          <w:rFonts w:eastAsia="Calibri" w:cs="Arial" w:ascii="Arial" w:hAnsi="Arial"/>
          <w:sz w:val="22"/>
          <w:szCs w:val="22"/>
        </w:rPr>
        <w:t>.</w:t>
      </w:r>
    </w:p>
    <w:p>
      <w:pPr>
        <w:pStyle w:val="Normal"/>
        <w:tabs>
          <w:tab w:val="left" w:pos="851" w:leader="none"/>
        </w:tabs>
        <w:spacing w:lineRule="auto" w:line="276" w:before="0" w:after="120"/>
        <w:jc w:val="both"/>
        <w:rPr/>
      </w:pPr>
      <w:r>
        <w:rPr>
          <w:rFonts w:eastAsia="Calibri" w:cs="Arial" w:ascii="Arial" w:hAnsi="Arial"/>
          <w:sz w:val="22"/>
          <w:szCs w:val="22"/>
        </w:rPr>
        <w:t xml:space="preserve">19.14. </w:t>
      </w:r>
      <w:r>
        <w:rPr>
          <w:rFonts w:eastAsia="Calibri" w:cs="Arial" w:ascii="Arial" w:hAnsi="Arial"/>
          <w:b/>
          <w:sz w:val="22"/>
          <w:szCs w:val="22"/>
        </w:rPr>
        <w:t>MANTER</w:t>
      </w:r>
      <w:r>
        <w:rPr>
          <w:rFonts w:eastAsia="Calibri" w:cs="Arial" w:ascii="Arial" w:hAnsi="Arial"/>
          <w:sz w:val="22"/>
          <w:szCs w:val="22"/>
        </w:rPr>
        <w:t xml:space="preserve"> todos os projetos, cadernos de encargos, memoriais descritivos, ARTs, alvarás e qualquer licença e/ou autorização referente à obra, </w:t>
      </w:r>
      <w:r>
        <w:rPr>
          <w:rFonts w:eastAsia="Calibri" w:cs="Arial" w:ascii="Arial" w:hAnsi="Arial"/>
          <w:b/>
          <w:sz w:val="22"/>
          <w:szCs w:val="22"/>
        </w:rPr>
        <w:t>PRESENTE NO CANTEIRO E QUE SEJA DE FÁCIL ACESSO PARA COM A FISCALIZAÇÃO</w:t>
      </w:r>
      <w:r>
        <w:rPr>
          <w:rFonts w:eastAsia="Calibri" w:cs="Arial" w:ascii="Arial" w:hAnsi="Arial"/>
          <w:sz w:val="22"/>
          <w:szCs w:val="22"/>
        </w:rPr>
        <w:t xml:space="preserve"> </w:t>
      </w:r>
      <w:r>
        <w:rPr>
          <w:rFonts w:eastAsia="Calibri" w:cs="Arial" w:ascii="Arial" w:hAnsi="Arial"/>
          <w:b/>
          <w:sz w:val="22"/>
          <w:szCs w:val="22"/>
        </w:rPr>
        <w:t>DE OBRAS E CONTRATOS.</w:t>
      </w:r>
    </w:p>
    <w:p>
      <w:pPr>
        <w:pStyle w:val="Corpodetexto"/>
        <w:tabs>
          <w:tab w:val="left" w:pos="851" w:leader="none"/>
        </w:tabs>
        <w:spacing w:lineRule="auto" w:line="276"/>
        <w:jc w:val="both"/>
        <w:rPr/>
      </w:pPr>
      <w:r>
        <w:rPr>
          <w:rFonts w:eastAsia="Calibri" w:cs="Arial" w:ascii="Arial" w:hAnsi="Arial"/>
          <w:sz w:val="22"/>
          <w:szCs w:val="22"/>
        </w:rPr>
        <w:t>19.15. Entregar a obra e seu entorno totalmente limpa.</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pPr>
      <w:r>
        <w:rPr>
          <w:rFonts w:cs="Arial" w:ascii="Arial" w:hAnsi="Arial"/>
          <w:sz w:val="22"/>
          <w:szCs w:val="22"/>
        </w:rPr>
        <w:t>Itajaí, 13 de junho de 2018.</w:t>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p>
      <w:pPr>
        <w:pStyle w:val="Corpodetexto"/>
        <w:tabs>
          <w:tab w:val="left" w:pos="851" w:leader="none"/>
        </w:tabs>
        <w:spacing w:lineRule="auto" w:line="276"/>
        <w:rPr>
          <w:rFonts w:ascii="Arial" w:hAnsi="Arial" w:cs="Arial"/>
          <w:sz w:val="22"/>
          <w:szCs w:val="22"/>
        </w:rPr>
      </w:pPr>
      <w:bookmarkStart w:id="19" w:name="_GoBack"/>
      <w:bookmarkStart w:id="20" w:name="_GoBack"/>
      <w:bookmarkEnd w:id="20"/>
      <w:r>
        <w:rPr>
          <w:rFonts w:cs="Arial" w:ascii="Arial" w:hAnsi="Arial"/>
          <w:sz w:val="22"/>
          <w:szCs w:val="22"/>
        </w:rPr>
      </w:r>
    </w:p>
    <w:p>
      <w:pPr>
        <w:pStyle w:val="Corpodetexto"/>
        <w:tabs>
          <w:tab w:val="left" w:pos="851" w:leader="none"/>
        </w:tabs>
        <w:spacing w:lineRule="auto" w:line="276"/>
        <w:rPr>
          <w:rFonts w:ascii="Arial" w:hAnsi="Arial" w:cs="Arial"/>
          <w:sz w:val="22"/>
          <w:szCs w:val="22"/>
        </w:rPr>
      </w:pPr>
      <w:r>
        <w:rPr>
          <w:rFonts w:cs="Arial" w:ascii="Arial" w:hAnsi="Arial"/>
          <w:sz w:val="22"/>
          <w:szCs w:val="22"/>
        </w:rPr>
      </w:r>
    </w:p>
    <w:tbl>
      <w:tblPr>
        <w:tblStyle w:val="Tabelacomgrade"/>
        <w:tblW w:w="9211" w:type="dxa"/>
        <w:jc w:val="left"/>
        <w:tblInd w:w="0" w:type="dxa"/>
        <w:tblCellMar>
          <w:top w:w="0" w:type="dxa"/>
          <w:left w:w="183" w:type="dxa"/>
          <w:bottom w:w="0" w:type="dxa"/>
          <w:right w:w="108" w:type="dxa"/>
        </w:tblCellMar>
        <w:tblLook w:firstRow="1" w:noVBand="1" w:lastRow="0" w:firstColumn="1" w:lastColumn="0" w:noHBand="0" w:val="04a0"/>
      </w:tblPr>
      <w:tblGrid>
        <w:gridCol w:w="4605"/>
        <w:gridCol w:w="4605"/>
      </w:tblGrid>
      <w:tr>
        <w:trPr/>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pPr>
            <w:r>
              <w:rPr>
                <w:rFonts w:eastAsia="Calibri" w:cs="Arial" w:ascii="Arial" w:hAnsi="Arial"/>
                <w:b/>
              </w:rPr>
              <w:t>Elmir Bortolanza</w:t>
            </w:r>
          </w:p>
          <w:p>
            <w:pPr>
              <w:pStyle w:val="Normal"/>
              <w:tabs>
                <w:tab w:val="left" w:pos="851" w:leader="none"/>
              </w:tabs>
              <w:spacing w:lineRule="auto" w:line="276"/>
              <w:jc w:val="center"/>
              <w:rPr>
                <w:rFonts w:ascii="Arial" w:hAnsi="Arial" w:eastAsia="Calibri" w:cs="Arial"/>
              </w:rPr>
            </w:pPr>
            <w:r>
              <w:rPr>
                <w:rFonts w:eastAsia="Calibri" w:cs="Arial" w:ascii="Arial" w:hAnsi="Arial"/>
              </w:rPr>
              <w:t>Gerente de Projetos Arquitetônicos</w:t>
            </w:r>
          </w:p>
          <w:p>
            <w:pPr>
              <w:pStyle w:val="Normal"/>
              <w:tabs>
                <w:tab w:val="left" w:pos="851" w:leader="none"/>
              </w:tabs>
              <w:spacing w:lineRule="auto" w:line="276"/>
              <w:jc w:val="center"/>
              <w:rPr>
                <w:rFonts w:ascii="Arial" w:hAnsi="Arial" w:cs="Arial"/>
              </w:rPr>
            </w:pPr>
            <w:r>
              <w:rPr>
                <w:rFonts w:cs="Arial" w:ascii="Arial" w:hAnsi="Arial"/>
              </w:rPr>
            </w:r>
          </w:p>
        </w:tc>
        <w:tc>
          <w:tcPr>
            <w:tcW w:w="4605" w:type="dxa"/>
            <w:tcBorders>
              <w:top w:val="nil"/>
              <w:left w:val="nil"/>
              <w:bottom w:val="nil"/>
              <w:right w:val="nil"/>
              <w:insideH w:val="nil"/>
              <w:insideV w:val="nil"/>
            </w:tcBorders>
            <w:shd w:color="auto" w:fill="auto" w:val="clear"/>
          </w:tcPr>
          <w:p>
            <w:pPr>
              <w:pStyle w:val="Normal"/>
              <w:tabs>
                <w:tab w:val="left" w:pos="851" w:leader="none"/>
              </w:tabs>
              <w:spacing w:lineRule="auto" w:line="276"/>
              <w:jc w:val="center"/>
              <w:rPr>
                <w:rFonts w:ascii="Arial" w:hAnsi="Arial" w:cs="Arial"/>
                <w:b/>
                <w:b/>
              </w:rPr>
            </w:pPr>
            <w:r>
              <w:rPr>
                <w:rFonts w:cs="Arial" w:ascii="Arial" w:hAnsi="Arial"/>
                <w:b/>
              </w:rPr>
              <w:t>Anderson Rodrigues</w:t>
            </w:r>
          </w:p>
          <w:p>
            <w:pPr>
              <w:pStyle w:val="Normal"/>
              <w:tabs>
                <w:tab w:val="left" w:pos="851" w:leader="none"/>
              </w:tabs>
              <w:spacing w:lineRule="auto" w:line="276"/>
              <w:jc w:val="center"/>
              <w:rPr/>
            </w:pPr>
            <w:r>
              <w:rPr>
                <w:rFonts w:cs="Arial" w:ascii="Arial" w:hAnsi="Arial"/>
              </w:rPr>
              <w:t>Diretor de Infraestrutura Escola</w:t>
            </w:r>
          </w:p>
        </w:tc>
      </w:tr>
    </w:tbl>
    <w:p>
      <w:pPr>
        <w:pStyle w:val="Normal"/>
        <w:tabs>
          <w:tab w:val="left" w:pos="851" w:leader="none"/>
        </w:tabs>
        <w:spacing w:lineRule="auto" w:line="276" w:before="0" w:after="120"/>
        <w:rPr/>
      </w:pPr>
      <w:r>
        <w:rPr/>
      </w:r>
    </w:p>
    <w:sectPr>
      <w:headerReference w:type="default" r:id="rId2"/>
      <w:footerReference w:type="default" r:id="rId3"/>
      <w:type w:val="nextPage"/>
      <w:pgSz w:w="11906" w:h="16838"/>
      <w:pgMar w:left="1701" w:right="1134" w:header="851" w:top="1667" w:footer="198" w:bottom="1134"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Liberation Sans">
    <w:altName w:val="Arial"/>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jc w:val="right"/>
      <w:rPr>
        <w:sz w:val="16"/>
        <w:szCs w:val="16"/>
      </w:rPr>
    </w:pPr>
    <w:r>
      <w:drawing>
        <wp:anchor behindDoc="1" distT="0" distB="6985" distL="133350" distR="114300" simplePos="0" locked="0" layoutInCell="1" allowOverlap="1" relativeHeight="12">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rPr/>
      <w:t>S</w:t>
    </w:r>
    <w:r>
      <w:rPr/>
      <w:t>ecretaria Municipal de Educação</w:t>
    </w:r>
  </w:p>
  <w:p>
    <w:pPr>
      <w:pStyle w:val="NoSpacing"/>
      <w:jc w:val="right"/>
      <w:rPr>
        <w:sz w:val="16"/>
        <w:szCs w:val="16"/>
      </w:rPr>
    </w:pPr>
    <w:r>
      <w:rPr>
        <w:sz w:val="16"/>
        <w:szCs w:val="16"/>
      </w:rPr>
      <w:t>Avenida Vereador Abrahão João Francisco, 3855 - Ressacada</w:t>
    </w:r>
  </w:p>
  <w:p>
    <w:pPr>
      <w:pStyle w:val="NoSpacing"/>
      <w:jc w:val="right"/>
      <w:rPr>
        <w:sz w:val="16"/>
        <w:szCs w:val="16"/>
      </w:rPr>
    </w:pPr>
    <w:r>
      <w:rPr>
        <w:sz w:val="16"/>
        <w:szCs w:val="16"/>
      </w:rPr>
      <w:t>88307-303 • Itajaí • Santa Catarina</w:t>
    </w:r>
  </w:p>
  <w:p>
    <w:pPr>
      <w:pStyle w:val="NoSpacing"/>
      <w:jc w:val="right"/>
      <w:rPr>
        <w:sz w:val="16"/>
        <w:szCs w:val="16"/>
        <w:lang w:val="fr-FR"/>
      </w:rPr>
    </w:pPr>
    <w:r>
      <w:rPr>
        <w:sz w:val="16"/>
        <w:szCs w:val="16"/>
        <w:lang w:val="fr-FR"/>
      </w:rPr>
      <w:t>Fone: 47 3249-3300</w:t>
    </w:r>
  </w:p>
  <w:p>
    <w:pPr>
      <w:pStyle w:val="NoSpacing"/>
      <w:jc w:val="right"/>
      <w:rPr/>
    </w:pPr>
    <w:r>
      <w:rPr>
        <w:sz w:val="16"/>
        <w:szCs w:val="16"/>
        <w:lang w:val="fr-FR"/>
      </w:rPr>
      <w:t>die@edu.itajai.sc.gov.br</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Spacing"/>
      <w:rPr>
        <w:rFonts w:ascii="Times New Roman" w:hAnsi="Times New Roman" w:cs="Times New Roman"/>
        <w:szCs w:val="24"/>
      </w:rPr>
    </w:pPr>
    <w:r>
      <w:rPr>
        <w:rFonts w:cs="Times New Roman" w:ascii="Times New Roman" w:hAnsi="Times New Roman"/>
        <w:szCs w:val="24"/>
      </w:rPr>
      <w:drawing>
        <wp:anchor behindDoc="0" distT="0" distB="0" distL="133350" distR="116205" simplePos="0" locked="0" layoutInCell="1" allowOverlap="1" relativeHeight="23">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875" y="0"/>
              <wp:lineTo x="-875" y="19945"/>
              <wp:lineTo x="21600" y="19945"/>
              <wp:lineTo x="21600" y="0"/>
              <wp:lineTo x="-875"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502"/>
        </w:tabs>
        <w:ind w:left="502" w:hanging="360"/>
      </w:pPr>
      <w:rPr>
        <w:sz w:val="22"/>
        <w:i w:val="false"/>
        <w:b w:val="false"/>
        <w:szCs w:val="24"/>
      </w:rPr>
    </w:lvl>
    <w:lvl w:ilvl="1">
      <w:start w:val="1"/>
      <w:numFmt w:val="decimal"/>
      <w:lvlText w:val="%1.%2."/>
      <w:lvlJc w:val="left"/>
      <w:pPr>
        <w:tabs>
          <w:tab w:val="num" w:pos="1132"/>
        </w:tabs>
        <w:ind w:left="1567" w:hanging="432"/>
      </w:pPr>
      <w:rPr>
        <w:sz w:val="22"/>
        <w:i w:val="false"/>
        <w:b w:val="false"/>
        <w:szCs w:val="24"/>
        <w:rFonts w:ascii="Arial" w:hAnsi="Arial"/>
        <w:color w:val="00000A"/>
      </w:rPr>
    </w:lvl>
    <w:lvl w:ilvl="2">
      <w:start w:val="1"/>
      <w:numFmt w:val="decimal"/>
      <w:lvlText w:val="%1.%2.%3."/>
      <w:lvlJc w:val="left"/>
      <w:pPr>
        <w:tabs>
          <w:tab w:val="num" w:pos="1440"/>
        </w:tabs>
        <w:ind w:left="1224" w:hanging="504"/>
      </w:pPr>
      <w:rPr>
        <w:sz w:val="22"/>
        <w:i w:val="false"/>
        <w:b w:val="false"/>
        <w:rFonts w:ascii="Arial" w:hAnsi="Arial"/>
        <w:color w:val="00000A"/>
      </w:rPr>
    </w:lvl>
    <w:lvl w:ilvl="3">
      <w:start w:val="1"/>
      <w:numFmt w:val="decimal"/>
      <w:lvlText w:val="%1.%2.%3.%4."/>
      <w:lvlJc w:val="left"/>
      <w:pPr>
        <w:tabs>
          <w:tab w:val="num" w:pos="1800"/>
        </w:tabs>
        <w:ind w:left="1728" w:hanging="648"/>
      </w:pPr>
      <w:rPr>
        <w:b w:val="false"/>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sz w:val="24"/>
        <w:b w:val="false"/>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3">
    <w:lvl w:ilvl="0">
      <w:start w:val="1"/>
      <w:numFmt w:val="bullet"/>
      <w:lvlText w:val=""/>
      <w:lvlJc w:val="left"/>
      <w:pPr>
        <w:tabs>
          <w:tab w:val="num" w:pos="720"/>
        </w:tabs>
        <w:ind w:left="720" w:hanging="360"/>
      </w:pPr>
      <w:rPr>
        <w:rFonts w:ascii="Symbol" w:hAnsi="Symbol" w:cs="Symbol" w:hint="default"/>
        <w:rFonts w:cs="Symbol"/>
      </w:rPr>
    </w:lvl>
    <w:lvl w:ilvl="1">
      <w:start w:val="1"/>
      <w:numFmt w:val="bullet"/>
      <w:lvlText w:val="o"/>
      <w:lvlJc w:val="left"/>
      <w:pPr>
        <w:tabs>
          <w:tab w:val="num" w:pos="1440"/>
        </w:tabs>
        <w:ind w:left="1440" w:hanging="360"/>
      </w:pPr>
      <w:rPr>
        <w:rFonts w:ascii="Courier New" w:hAnsi="Courier New" w:cs="Courier New" w:hint="default"/>
        <w:rFonts w:cs="Courier New"/>
      </w:rPr>
    </w:lvl>
    <w:lvl w:ilvl="2">
      <w:start w:val="1"/>
      <w:numFmt w:val="bullet"/>
      <w:lvlText w:val=""/>
      <w:lvlJc w:val="left"/>
      <w:pPr>
        <w:tabs>
          <w:tab w:val="num" w:pos="2160"/>
        </w:tabs>
        <w:ind w:left="2160" w:hanging="360"/>
      </w:pPr>
      <w:rPr>
        <w:rFonts w:ascii="Wingdings" w:hAnsi="Wingdings" w:cs="Wingdings" w:hint="default"/>
        <w:rFonts w:cs="Wingdings"/>
      </w:rPr>
    </w:lvl>
    <w:lvl w:ilvl="3">
      <w:start w:val="1"/>
      <w:numFmt w:val="bullet"/>
      <w:lvlText w:val=""/>
      <w:lvlJc w:val="left"/>
      <w:pPr>
        <w:tabs>
          <w:tab w:val="num" w:pos="2880"/>
        </w:tabs>
        <w:ind w:left="2880" w:hanging="360"/>
      </w:pPr>
      <w:rPr>
        <w:rFonts w:ascii="Symbol" w:hAnsi="Symbol" w:cs="Symbol" w:hint="default"/>
        <w:sz w:val="22"/>
        <w:rFonts w:cs="Symbol"/>
      </w:rPr>
    </w:lvl>
    <w:lvl w:ilvl="4">
      <w:start w:val="1"/>
      <w:numFmt w:val="bullet"/>
      <w:lvlText w:val="o"/>
      <w:lvlJc w:val="left"/>
      <w:pPr>
        <w:tabs>
          <w:tab w:val="num" w:pos="3600"/>
        </w:tabs>
        <w:ind w:left="3600" w:hanging="360"/>
      </w:pPr>
      <w:rPr>
        <w:rFonts w:ascii="Courier New" w:hAnsi="Courier New" w:cs="Courier New" w:hint="default"/>
        <w:rFonts w:cs="Courier New"/>
      </w:rPr>
    </w:lvl>
    <w:lvl w:ilvl="5">
      <w:start w:val="1"/>
      <w:numFmt w:val="bullet"/>
      <w:lvlText w:val=""/>
      <w:lvlJc w:val="left"/>
      <w:pPr>
        <w:tabs>
          <w:tab w:val="num" w:pos="4320"/>
        </w:tabs>
        <w:ind w:left="4320" w:hanging="360"/>
      </w:pPr>
      <w:rPr>
        <w:rFonts w:ascii="Wingdings" w:hAnsi="Wingdings" w:cs="Wingdings" w:hint="default"/>
        <w:rFonts w:cs="Wingdings"/>
      </w:rPr>
    </w:lvl>
    <w:lvl w:ilvl="6">
      <w:start w:val="1"/>
      <w:numFmt w:val="bullet"/>
      <w:lvlText w:val=""/>
      <w:lvlJc w:val="left"/>
      <w:pPr>
        <w:tabs>
          <w:tab w:val="num" w:pos="5040"/>
        </w:tabs>
        <w:ind w:left="5040" w:hanging="360"/>
      </w:pPr>
      <w:rPr>
        <w:rFonts w:ascii="Symbol" w:hAnsi="Symbol" w:cs="Symbol" w:hint="default"/>
        <w:rFonts w:cs="Symbol"/>
      </w:rPr>
    </w:lvl>
    <w:lvl w:ilvl="7">
      <w:start w:val="1"/>
      <w:numFmt w:val="bullet"/>
      <w:lvlText w:val="o"/>
      <w:lvlJc w:val="left"/>
      <w:pPr>
        <w:tabs>
          <w:tab w:val="num" w:pos="5760"/>
        </w:tabs>
        <w:ind w:left="5760" w:hanging="360"/>
      </w:pPr>
      <w:rPr>
        <w:rFonts w:ascii="Courier New" w:hAnsi="Courier New" w:cs="Courier New" w:hint="default"/>
        <w:rFonts w:cs="Courier New"/>
      </w:rPr>
    </w:lvl>
    <w:lvl w:ilvl="8">
      <w:start w:val="1"/>
      <w:numFmt w:val="bullet"/>
      <w:lvlText w:val=""/>
      <w:lvlJc w:val="left"/>
      <w:pPr>
        <w:tabs>
          <w:tab w:val="num" w:pos="6480"/>
        </w:tabs>
        <w:ind w:left="6480" w:hanging="360"/>
      </w:pPr>
      <w:rPr>
        <w:rFonts w:ascii="Wingdings" w:hAnsi="Wingdings" w:cs="Wingdings" w:hint="default"/>
        <w:rFonts w:cs="Wingdings"/>
      </w:rPr>
    </w:lvl>
  </w:abstractNum>
  <w:abstractNum w:abstractNumId="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sz w:val="22"/>
        <w:b w:val="false"/>
        <w:rFonts w:ascii="Arial" w:hAnsi="Arial"/>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10"/>
  <w:defaultTabStop w:val="720"/>
  <w:autoHyphenation w:val="fals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c6584"/>
    <w:pPr>
      <w:widowControl w:val="false"/>
      <w:suppressAutoHyphens w:val="true"/>
      <w:bidi w:val="0"/>
      <w:jc w:val="left"/>
    </w:pPr>
    <w:rPr>
      <w:rFonts w:ascii="Times New Roman" w:hAnsi="Times New Roman" w:eastAsia="Lucida Sans Unicode" w:cs="Times New Roman"/>
      <w:color w:val="00000A"/>
      <w:sz w:val="24"/>
      <w:szCs w:val="24"/>
      <w:lang w:val="pt-BR" w:eastAsia="en-US" w:bidi="ar-SA"/>
    </w:rPr>
  </w:style>
  <w:style w:type="paragraph" w:styleId="Ttulo1">
    <w:name w:val="Heading 1"/>
    <w:basedOn w:val="Ttulododocumento"/>
    <w:link w:val="Ttulo1Char"/>
    <w:qFormat/>
    <w:rsid w:val="00bc6584"/>
    <w:pPr>
      <w:keepNext/>
      <w:tabs>
        <w:tab w:val="left" w:pos="0" w:leader="none"/>
      </w:tabs>
      <w:spacing w:before="240" w:after="120"/>
      <w:outlineLvl w:val="0"/>
    </w:pPr>
    <w:rPr>
      <w:rFonts w:ascii="Arial" w:hAnsi="Arial" w:eastAsia="Lucida Sans Unicode" w:cs="Tahoma"/>
      <w:b/>
      <w:bCs/>
      <w:color w:val="00000A"/>
      <w:spacing w:val="0"/>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bc6584"/>
    <w:rPr>
      <w:rFonts w:ascii="Arial" w:hAnsi="Arial" w:eastAsia="Lucida Sans Unicode" w:cs="Tahoma"/>
      <w:b/>
      <w:bCs/>
      <w:sz w:val="32"/>
      <w:szCs w:val="32"/>
    </w:rPr>
  </w:style>
  <w:style w:type="character" w:styleId="CabealhoChar" w:customStyle="1">
    <w:name w:val="Cabeçalho Char"/>
    <w:basedOn w:val="DefaultParagraphFont"/>
    <w:link w:val="Cabealho"/>
    <w:uiPriority w:val="99"/>
    <w:qFormat/>
    <w:rsid w:val="00bc6584"/>
    <w:rPr/>
  </w:style>
  <w:style w:type="character" w:styleId="RodapChar" w:customStyle="1">
    <w:name w:val="Rodapé Char"/>
    <w:basedOn w:val="DefaultParagraphFont"/>
    <w:link w:val="Rodap"/>
    <w:qFormat/>
    <w:rsid w:val="00bc6584"/>
    <w:rPr/>
  </w:style>
  <w:style w:type="character" w:styleId="CorpodetextoChar" w:customStyle="1">
    <w:name w:val="Corpo de texto Char"/>
    <w:basedOn w:val="DefaultParagraphFont"/>
    <w:link w:val="Corpodetexto"/>
    <w:qFormat/>
    <w:rsid w:val="00bc6584"/>
    <w:rPr>
      <w:rFonts w:ascii="Times New Roman" w:hAnsi="Times New Roman" w:eastAsia="Lucida Sans Unicode" w:cs="Times New Roman"/>
      <w:sz w:val="24"/>
      <w:szCs w:val="24"/>
    </w:rPr>
  </w:style>
  <w:style w:type="character" w:styleId="TtuloChar" w:customStyle="1">
    <w:name w:val="Título Char"/>
    <w:basedOn w:val="DefaultParagraphFont"/>
    <w:link w:val="Ttulo"/>
    <w:uiPriority w:val="10"/>
    <w:qFormat/>
    <w:rsid w:val="00bc6584"/>
    <w:rPr>
      <w:rFonts w:ascii="Cambria" w:hAnsi="Cambria" w:eastAsia="" w:cs="" w:asciiTheme="majorHAnsi" w:cstheme="majorBidi" w:eastAsiaTheme="majorEastAsia" w:hAnsiTheme="majorHAnsi"/>
      <w:color w:val="17365D" w:themeColor="text2" w:themeShade="bf"/>
      <w:spacing w:val="5"/>
      <w:sz w:val="52"/>
      <w:szCs w:val="52"/>
    </w:rPr>
  </w:style>
  <w:style w:type="character" w:styleId="TextodebaloChar" w:customStyle="1">
    <w:name w:val="Texto de balão Char"/>
    <w:basedOn w:val="DefaultParagraphFont"/>
    <w:link w:val="Textodebalo"/>
    <w:uiPriority w:val="99"/>
    <w:semiHidden/>
    <w:qFormat/>
    <w:rsid w:val="00bc6584"/>
    <w:rPr>
      <w:rFonts w:ascii="Tahoma" w:hAnsi="Tahoma" w:eastAsia="Lucida Sans Unicode" w:cs="Tahoma"/>
      <w:sz w:val="16"/>
      <w:szCs w:val="16"/>
    </w:rPr>
  </w:style>
  <w:style w:type="character" w:styleId="Recuodecorpodetexto2Char" w:customStyle="1">
    <w:name w:val="Recuo de corpo de texto 2 Char"/>
    <w:basedOn w:val="DefaultParagraphFont"/>
    <w:link w:val="Recuodecorpodetexto2"/>
    <w:qFormat/>
    <w:rsid w:val="00515a8f"/>
    <w:rPr>
      <w:rFonts w:ascii="Times New Roman" w:hAnsi="Times New Roman" w:eastAsia="Lucida Sans Unicode" w:cs="Times New Roman"/>
      <w:sz w:val="24"/>
      <w:szCs w:val="24"/>
    </w:rPr>
  </w:style>
  <w:style w:type="character" w:styleId="Corpodetexto3Char" w:customStyle="1">
    <w:name w:val="Corpo de texto 3 Char"/>
    <w:basedOn w:val="DefaultParagraphFont"/>
    <w:link w:val="Corpodetexto3"/>
    <w:qFormat/>
    <w:rsid w:val="00c85edf"/>
    <w:rPr>
      <w:rFonts w:ascii="Times New Roman" w:hAnsi="Times New Roman" w:eastAsia="Times New Roman" w:cs="Times New Roman"/>
      <w:sz w:val="16"/>
      <w:szCs w:val="16"/>
      <w:lang w:eastAsia="pt-BR"/>
    </w:rPr>
  </w:style>
  <w:style w:type="character" w:styleId="Annotationreference">
    <w:name w:val="annotation reference"/>
    <w:basedOn w:val="DefaultParagraphFont"/>
    <w:qFormat/>
    <w:rsid w:val="00c85edf"/>
    <w:rPr>
      <w:sz w:val="16"/>
      <w:szCs w:val="16"/>
    </w:rPr>
  </w:style>
  <w:style w:type="character" w:styleId="Applestylespan" w:customStyle="1">
    <w:name w:val="apple-style-span"/>
    <w:basedOn w:val="DefaultParagraphFont"/>
    <w:qFormat/>
    <w:rsid w:val="00c85ed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b w:val="false"/>
      <w:i w:val="false"/>
      <w:sz w:val="22"/>
      <w:szCs w:val="24"/>
    </w:rPr>
  </w:style>
  <w:style w:type="character" w:styleId="ListLabel5" w:customStyle="1">
    <w:name w:val="ListLabel 5"/>
    <w:qFormat/>
    <w:rPr>
      <w:rFonts w:ascii="Arial" w:hAnsi="Arial"/>
      <w:b w:val="false"/>
      <w:i w:val="false"/>
      <w:color w:val="00000A"/>
      <w:sz w:val="22"/>
      <w:szCs w:val="24"/>
    </w:rPr>
  </w:style>
  <w:style w:type="character" w:styleId="ListLabel6" w:customStyle="1">
    <w:name w:val="ListLabel 6"/>
    <w:qFormat/>
    <w:rPr>
      <w:rFonts w:ascii="Arial" w:hAnsi="Arial"/>
      <w:b w:val="false"/>
      <w:i w:val="false"/>
      <w:color w:val="00000A"/>
      <w:sz w:val="22"/>
    </w:rPr>
  </w:style>
  <w:style w:type="character" w:styleId="ListLabel7" w:customStyle="1">
    <w:name w:val="ListLabel 7"/>
    <w:qFormat/>
    <w:rPr>
      <w:b w:val="false"/>
    </w:rPr>
  </w:style>
  <w:style w:type="character" w:styleId="ListLabel8" w:customStyle="1">
    <w:name w:val="ListLabel 8"/>
    <w:qFormat/>
    <w:rPr>
      <w:b w:val="false"/>
      <w:sz w:val="24"/>
      <w:szCs w:val="24"/>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ascii="Arial" w:hAnsi="Arial"/>
      <w:b w:val="false"/>
      <w:sz w:val="22"/>
    </w:rPr>
  </w:style>
  <w:style w:type="character" w:styleId="ListLabel13" w:customStyle="1">
    <w:name w:val="ListLabel 13"/>
    <w:qFormat/>
    <w:rPr>
      <w:rFonts w:cs="Courier New"/>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b w:val="false"/>
      <w:i w:val="false"/>
      <w:sz w:val="22"/>
      <w:szCs w:val="24"/>
    </w:rPr>
  </w:style>
  <w:style w:type="character" w:styleId="ListLabel17" w:customStyle="1">
    <w:name w:val="ListLabel 17"/>
    <w:qFormat/>
    <w:rPr>
      <w:rFonts w:ascii="Arial" w:hAnsi="Arial"/>
      <w:b w:val="false"/>
      <w:i w:val="false"/>
      <w:color w:val="00000A"/>
      <w:sz w:val="22"/>
      <w:szCs w:val="24"/>
    </w:rPr>
  </w:style>
  <w:style w:type="character" w:styleId="ListLabel18" w:customStyle="1">
    <w:name w:val="ListLabel 18"/>
    <w:qFormat/>
    <w:rPr>
      <w:rFonts w:ascii="Arial" w:hAnsi="Arial"/>
      <w:b w:val="false"/>
      <w:i w:val="false"/>
      <w:color w:val="00000A"/>
      <w:sz w:val="22"/>
    </w:rPr>
  </w:style>
  <w:style w:type="character" w:styleId="ListLabel19" w:customStyle="1">
    <w:name w:val="ListLabel 19"/>
    <w:qFormat/>
    <w:rPr>
      <w:b w:val="false"/>
    </w:rPr>
  </w:style>
  <w:style w:type="character" w:styleId="ListLabel20" w:customStyle="1">
    <w:name w:val="ListLabel 20"/>
    <w:qFormat/>
    <w:rPr>
      <w:b w:val="false"/>
      <w:sz w:val="24"/>
      <w:szCs w:val="24"/>
    </w:rPr>
  </w:style>
  <w:style w:type="character" w:styleId="ListLabel21" w:customStyle="1">
    <w:name w:val="ListLabel 21"/>
    <w:qFormat/>
    <w:rPr>
      <w:rFonts w:cs="Symbol"/>
    </w:rPr>
  </w:style>
  <w:style w:type="character" w:styleId="ListLabel22" w:customStyle="1">
    <w:name w:val="ListLabel 22"/>
    <w:qFormat/>
    <w:rPr>
      <w:rFonts w:cs="Courier New"/>
    </w:rPr>
  </w:style>
  <w:style w:type="character" w:styleId="ListLabel23" w:customStyle="1">
    <w:name w:val="ListLabel 23"/>
    <w:qFormat/>
    <w:rPr>
      <w:rFonts w:cs="Wingdings"/>
    </w:rPr>
  </w:style>
  <w:style w:type="character" w:styleId="ListLabel24" w:customStyle="1">
    <w:name w:val="ListLabel 24"/>
    <w:qFormat/>
    <w:rPr>
      <w:rFonts w:ascii="Arial" w:hAnsi="Arial" w:cs="Symbol"/>
      <w:sz w:val="22"/>
    </w:rPr>
  </w:style>
  <w:style w:type="character" w:styleId="ListLabel25" w:customStyle="1">
    <w:name w:val="ListLabel 25"/>
    <w:qFormat/>
    <w:rPr>
      <w:rFonts w:cs="Courier New"/>
    </w:rPr>
  </w:style>
  <w:style w:type="character" w:styleId="ListLabel26" w:customStyle="1">
    <w:name w:val="ListLabel 26"/>
    <w:qFormat/>
    <w:rPr>
      <w:rFonts w:cs="Wingdings"/>
    </w:rPr>
  </w:style>
  <w:style w:type="character" w:styleId="ListLabel27" w:customStyle="1">
    <w:name w:val="ListLabel 27"/>
    <w:qFormat/>
    <w:rPr>
      <w:rFonts w:cs="Symbol"/>
    </w:rPr>
  </w:style>
  <w:style w:type="character" w:styleId="ListLabel28" w:customStyle="1">
    <w:name w:val="ListLabel 28"/>
    <w:qFormat/>
    <w:rPr>
      <w:rFonts w:cs="Courier New"/>
    </w:rPr>
  </w:style>
  <w:style w:type="character" w:styleId="ListLabel29" w:customStyle="1">
    <w:name w:val="ListLabel 29"/>
    <w:qFormat/>
    <w:rPr>
      <w:rFonts w:cs="Wingdings"/>
    </w:rPr>
  </w:style>
  <w:style w:type="character" w:styleId="ListLabel30" w:customStyle="1">
    <w:name w:val="ListLabel 30"/>
    <w:qFormat/>
    <w:rPr>
      <w:rFonts w:ascii="Arial" w:hAnsi="Arial"/>
      <w:b w:val="false"/>
      <w:sz w:val="22"/>
    </w:rPr>
  </w:style>
  <w:style w:type="character" w:styleId="ListLabel31" w:customStyle="1">
    <w:name w:val="ListLabel 31"/>
    <w:qFormat/>
    <w:rPr>
      <w:b w:val="false"/>
      <w:i w:val="false"/>
      <w:sz w:val="22"/>
      <w:szCs w:val="24"/>
    </w:rPr>
  </w:style>
  <w:style w:type="character" w:styleId="ListLabel32" w:customStyle="1">
    <w:name w:val="ListLabel 32"/>
    <w:qFormat/>
    <w:rPr>
      <w:rFonts w:ascii="Arial" w:hAnsi="Arial"/>
      <w:b w:val="false"/>
      <w:i w:val="false"/>
      <w:color w:val="00000A"/>
      <w:sz w:val="22"/>
      <w:szCs w:val="24"/>
    </w:rPr>
  </w:style>
  <w:style w:type="character" w:styleId="ListLabel33" w:customStyle="1">
    <w:name w:val="ListLabel 33"/>
    <w:qFormat/>
    <w:rPr>
      <w:rFonts w:ascii="Arial" w:hAnsi="Arial"/>
      <w:b w:val="false"/>
      <w:i w:val="false"/>
      <w:color w:val="00000A"/>
      <w:sz w:val="22"/>
    </w:rPr>
  </w:style>
  <w:style w:type="character" w:styleId="ListLabel34" w:customStyle="1">
    <w:name w:val="ListLabel 34"/>
    <w:qFormat/>
    <w:rPr>
      <w:b w:val="false"/>
    </w:rPr>
  </w:style>
  <w:style w:type="character" w:styleId="ListLabel35" w:customStyle="1">
    <w:name w:val="ListLabel 35"/>
    <w:qFormat/>
    <w:rPr>
      <w:b w:val="false"/>
      <w:sz w:val="24"/>
      <w:szCs w:val="24"/>
    </w:rPr>
  </w:style>
  <w:style w:type="character" w:styleId="ListLabel36" w:customStyle="1">
    <w:name w:val="ListLabel 36"/>
    <w:qFormat/>
    <w:rPr>
      <w:rFonts w:cs="Symbol"/>
    </w:rPr>
  </w:style>
  <w:style w:type="character" w:styleId="ListLabel37" w:customStyle="1">
    <w:name w:val="ListLabel 37"/>
    <w:qFormat/>
    <w:rPr>
      <w:rFonts w:cs="Courier New"/>
    </w:rPr>
  </w:style>
  <w:style w:type="character" w:styleId="ListLabel38" w:customStyle="1">
    <w:name w:val="ListLabel 38"/>
    <w:qFormat/>
    <w:rPr>
      <w:rFonts w:cs="Wingdings"/>
    </w:rPr>
  </w:style>
  <w:style w:type="character" w:styleId="ListLabel39" w:customStyle="1">
    <w:name w:val="ListLabel 39"/>
    <w:qFormat/>
    <w:rPr>
      <w:rFonts w:ascii="Arial" w:hAnsi="Arial" w:cs="Symbol"/>
      <w:sz w:val="22"/>
    </w:rPr>
  </w:style>
  <w:style w:type="character" w:styleId="ListLabel40" w:customStyle="1">
    <w:name w:val="ListLabel 40"/>
    <w:qFormat/>
    <w:rPr>
      <w:rFonts w:cs="Courier New"/>
    </w:rPr>
  </w:style>
  <w:style w:type="character" w:styleId="ListLabel41" w:customStyle="1">
    <w:name w:val="ListLabel 41"/>
    <w:qFormat/>
    <w:rPr>
      <w:rFonts w:cs="Wingdings"/>
    </w:rPr>
  </w:style>
  <w:style w:type="character" w:styleId="ListLabel42" w:customStyle="1">
    <w:name w:val="ListLabel 42"/>
    <w:qFormat/>
    <w:rPr>
      <w:rFonts w:cs="Symbol"/>
    </w:rPr>
  </w:style>
  <w:style w:type="character" w:styleId="ListLabel43" w:customStyle="1">
    <w:name w:val="ListLabel 43"/>
    <w:qFormat/>
    <w:rPr>
      <w:rFonts w:cs="Courier New"/>
    </w:rPr>
  </w:style>
  <w:style w:type="character" w:styleId="ListLabel44" w:customStyle="1">
    <w:name w:val="ListLabel 44"/>
    <w:qFormat/>
    <w:rPr>
      <w:rFonts w:cs="Wingdings"/>
    </w:rPr>
  </w:style>
  <w:style w:type="character" w:styleId="ListLabel45" w:customStyle="1">
    <w:name w:val="ListLabel 45"/>
    <w:qFormat/>
    <w:rPr>
      <w:rFonts w:ascii="Arial" w:hAnsi="Arial"/>
      <w:b w:val="false"/>
      <w:sz w:val="22"/>
    </w:rPr>
  </w:style>
  <w:style w:type="character" w:styleId="ListLabel46" w:customStyle="1">
    <w:name w:val="ListLabel 46"/>
    <w:qFormat/>
    <w:rPr>
      <w:b w:val="false"/>
      <w:i w:val="false"/>
      <w:sz w:val="22"/>
      <w:szCs w:val="24"/>
    </w:rPr>
  </w:style>
  <w:style w:type="character" w:styleId="ListLabel47" w:customStyle="1">
    <w:name w:val="ListLabel 47"/>
    <w:qFormat/>
    <w:rPr>
      <w:rFonts w:ascii="Arial" w:hAnsi="Arial"/>
      <w:b w:val="false"/>
      <w:i w:val="false"/>
      <w:color w:val="00000A"/>
      <w:sz w:val="22"/>
      <w:szCs w:val="24"/>
    </w:rPr>
  </w:style>
  <w:style w:type="character" w:styleId="ListLabel48" w:customStyle="1">
    <w:name w:val="ListLabel 48"/>
    <w:qFormat/>
    <w:rPr>
      <w:rFonts w:ascii="Arial" w:hAnsi="Arial"/>
      <w:b w:val="false"/>
      <w:i w:val="false"/>
      <w:color w:val="00000A"/>
      <w:sz w:val="22"/>
    </w:rPr>
  </w:style>
  <w:style w:type="character" w:styleId="ListLabel49" w:customStyle="1">
    <w:name w:val="ListLabel 49"/>
    <w:qFormat/>
    <w:rPr>
      <w:b w:val="false"/>
    </w:rPr>
  </w:style>
  <w:style w:type="character" w:styleId="ListLabel50" w:customStyle="1">
    <w:name w:val="ListLabel 50"/>
    <w:qFormat/>
    <w:rPr>
      <w:b w:val="false"/>
      <w:sz w:val="24"/>
      <w:szCs w:val="24"/>
    </w:rPr>
  </w:style>
  <w:style w:type="character" w:styleId="ListLabel51" w:customStyle="1">
    <w:name w:val="ListLabel 51"/>
    <w:qFormat/>
    <w:rPr>
      <w:rFonts w:cs="Symbol"/>
    </w:rPr>
  </w:style>
  <w:style w:type="character" w:styleId="ListLabel52" w:customStyle="1">
    <w:name w:val="ListLabel 52"/>
    <w:qFormat/>
    <w:rPr>
      <w:rFonts w:cs="Courier New"/>
    </w:rPr>
  </w:style>
  <w:style w:type="character" w:styleId="ListLabel53" w:customStyle="1">
    <w:name w:val="ListLabel 53"/>
    <w:qFormat/>
    <w:rPr>
      <w:rFonts w:cs="Wingdings"/>
    </w:rPr>
  </w:style>
  <w:style w:type="character" w:styleId="ListLabel54" w:customStyle="1">
    <w:name w:val="ListLabel 54"/>
    <w:qFormat/>
    <w:rPr>
      <w:rFonts w:ascii="Arial" w:hAnsi="Arial" w:cs="Symbol"/>
      <w:sz w:val="22"/>
    </w:rPr>
  </w:style>
  <w:style w:type="character" w:styleId="ListLabel55" w:customStyle="1">
    <w:name w:val="ListLabel 55"/>
    <w:qFormat/>
    <w:rPr>
      <w:rFonts w:cs="Courier New"/>
    </w:rPr>
  </w:style>
  <w:style w:type="character" w:styleId="ListLabel56" w:customStyle="1">
    <w:name w:val="ListLabel 56"/>
    <w:qFormat/>
    <w:rPr>
      <w:rFonts w:cs="Wingdings"/>
    </w:rPr>
  </w:style>
  <w:style w:type="character" w:styleId="ListLabel57" w:customStyle="1">
    <w:name w:val="ListLabel 57"/>
    <w:qFormat/>
    <w:rPr>
      <w:rFonts w:cs="Symbol"/>
    </w:rPr>
  </w:style>
  <w:style w:type="character" w:styleId="ListLabel58" w:customStyle="1">
    <w:name w:val="ListLabel 58"/>
    <w:qFormat/>
    <w:rPr>
      <w:rFonts w:cs="Courier New"/>
    </w:rPr>
  </w:style>
  <w:style w:type="character" w:styleId="ListLabel59" w:customStyle="1">
    <w:name w:val="ListLabel 59"/>
    <w:qFormat/>
    <w:rPr>
      <w:rFonts w:cs="Wingdings"/>
    </w:rPr>
  </w:style>
  <w:style w:type="character" w:styleId="ListLabel60" w:customStyle="1">
    <w:name w:val="ListLabel 60"/>
    <w:qFormat/>
    <w:rPr>
      <w:rFonts w:ascii="Arial" w:hAnsi="Arial"/>
      <w:b w:val="false"/>
      <w:sz w:val="22"/>
    </w:rPr>
  </w:style>
  <w:style w:type="character" w:styleId="ListLabel61" w:customStyle="1">
    <w:name w:val="ListLabel 61"/>
    <w:qFormat/>
    <w:rPr>
      <w:b w:val="false"/>
      <w:i w:val="false"/>
      <w:sz w:val="22"/>
      <w:szCs w:val="24"/>
    </w:rPr>
  </w:style>
  <w:style w:type="character" w:styleId="ListLabel62" w:customStyle="1">
    <w:name w:val="ListLabel 62"/>
    <w:qFormat/>
    <w:rPr>
      <w:rFonts w:ascii="Arial" w:hAnsi="Arial"/>
      <w:b w:val="false"/>
      <w:i w:val="false"/>
      <w:color w:val="00000A"/>
      <w:sz w:val="22"/>
      <w:szCs w:val="24"/>
    </w:rPr>
  </w:style>
  <w:style w:type="character" w:styleId="ListLabel63" w:customStyle="1">
    <w:name w:val="ListLabel 63"/>
    <w:qFormat/>
    <w:rPr>
      <w:rFonts w:ascii="Arial" w:hAnsi="Arial"/>
      <w:b w:val="false"/>
      <w:i w:val="false"/>
      <w:color w:val="00000A"/>
      <w:sz w:val="22"/>
    </w:rPr>
  </w:style>
  <w:style w:type="character" w:styleId="ListLabel64" w:customStyle="1">
    <w:name w:val="ListLabel 64"/>
    <w:qFormat/>
    <w:rPr>
      <w:b w:val="false"/>
    </w:rPr>
  </w:style>
  <w:style w:type="character" w:styleId="ListLabel65" w:customStyle="1">
    <w:name w:val="ListLabel 65"/>
    <w:qFormat/>
    <w:rPr>
      <w:b w:val="false"/>
      <w:sz w:val="24"/>
      <w:szCs w:val="24"/>
    </w:rPr>
  </w:style>
  <w:style w:type="character" w:styleId="ListLabel66" w:customStyle="1">
    <w:name w:val="ListLabel 66"/>
    <w:qFormat/>
    <w:rPr>
      <w:rFonts w:cs="Symbol"/>
    </w:rPr>
  </w:style>
  <w:style w:type="character" w:styleId="ListLabel67" w:customStyle="1">
    <w:name w:val="ListLabel 67"/>
    <w:qFormat/>
    <w:rPr>
      <w:rFonts w:cs="Courier New"/>
    </w:rPr>
  </w:style>
  <w:style w:type="character" w:styleId="ListLabel68" w:customStyle="1">
    <w:name w:val="ListLabel 68"/>
    <w:qFormat/>
    <w:rPr>
      <w:rFonts w:cs="Wingdings"/>
    </w:rPr>
  </w:style>
  <w:style w:type="character" w:styleId="ListLabel69" w:customStyle="1">
    <w:name w:val="ListLabel 69"/>
    <w:qFormat/>
    <w:rPr>
      <w:rFonts w:ascii="Arial" w:hAnsi="Arial" w:cs="Symbol"/>
      <w:sz w:val="22"/>
    </w:rPr>
  </w:style>
  <w:style w:type="character" w:styleId="ListLabel70" w:customStyle="1">
    <w:name w:val="ListLabel 70"/>
    <w:qFormat/>
    <w:rPr>
      <w:rFonts w:cs="Courier New"/>
    </w:rPr>
  </w:style>
  <w:style w:type="character" w:styleId="ListLabel71" w:customStyle="1">
    <w:name w:val="ListLabel 71"/>
    <w:qFormat/>
    <w:rPr>
      <w:rFonts w:cs="Wingdings"/>
    </w:rPr>
  </w:style>
  <w:style w:type="character" w:styleId="ListLabel72" w:customStyle="1">
    <w:name w:val="ListLabel 72"/>
    <w:qFormat/>
    <w:rPr>
      <w:rFonts w:cs="Symbol"/>
    </w:rPr>
  </w:style>
  <w:style w:type="character" w:styleId="ListLabel73" w:customStyle="1">
    <w:name w:val="ListLabel 73"/>
    <w:qFormat/>
    <w:rPr>
      <w:rFonts w:cs="Courier New"/>
    </w:rPr>
  </w:style>
  <w:style w:type="character" w:styleId="ListLabel74" w:customStyle="1">
    <w:name w:val="ListLabel 74"/>
    <w:qFormat/>
    <w:rPr>
      <w:rFonts w:cs="Wingdings"/>
    </w:rPr>
  </w:style>
  <w:style w:type="character" w:styleId="ListLabel75" w:customStyle="1">
    <w:name w:val="ListLabel 75"/>
    <w:qFormat/>
    <w:rPr>
      <w:rFonts w:ascii="Arial" w:hAnsi="Arial"/>
      <w:b w:val="false"/>
      <w:sz w:val="22"/>
    </w:rPr>
  </w:style>
  <w:style w:type="character" w:styleId="ListLabel76" w:customStyle="1">
    <w:name w:val="ListLabel 76"/>
    <w:qFormat/>
    <w:rPr>
      <w:b w:val="false"/>
      <w:i w:val="false"/>
      <w:sz w:val="22"/>
      <w:szCs w:val="24"/>
    </w:rPr>
  </w:style>
  <w:style w:type="character" w:styleId="ListLabel77" w:customStyle="1">
    <w:name w:val="ListLabel 77"/>
    <w:qFormat/>
    <w:rPr>
      <w:rFonts w:ascii="Arial" w:hAnsi="Arial"/>
      <w:b w:val="false"/>
      <w:i w:val="false"/>
      <w:color w:val="00000A"/>
      <w:sz w:val="22"/>
      <w:szCs w:val="24"/>
    </w:rPr>
  </w:style>
  <w:style w:type="character" w:styleId="ListLabel78" w:customStyle="1">
    <w:name w:val="ListLabel 78"/>
    <w:qFormat/>
    <w:rPr>
      <w:rFonts w:ascii="Arial" w:hAnsi="Arial"/>
      <w:b w:val="false"/>
      <w:i w:val="false"/>
      <w:color w:val="00000A"/>
      <w:sz w:val="22"/>
    </w:rPr>
  </w:style>
  <w:style w:type="character" w:styleId="ListLabel79" w:customStyle="1">
    <w:name w:val="ListLabel 79"/>
    <w:qFormat/>
    <w:rPr>
      <w:b w:val="false"/>
    </w:rPr>
  </w:style>
  <w:style w:type="character" w:styleId="ListLabel80" w:customStyle="1">
    <w:name w:val="ListLabel 80"/>
    <w:qFormat/>
    <w:rPr>
      <w:b w:val="false"/>
      <w:sz w:val="24"/>
      <w:szCs w:val="24"/>
    </w:rPr>
  </w:style>
  <w:style w:type="character" w:styleId="ListLabel81" w:customStyle="1">
    <w:name w:val="ListLabel 81"/>
    <w:qFormat/>
    <w:rPr>
      <w:rFonts w:cs="Symbol"/>
    </w:rPr>
  </w:style>
  <w:style w:type="character" w:styleId="ListLabel82" w:customStyle="1">
    <w:name w:val="ListLabel 82"/>
    <w:qFormat/>
    <w:rPr>
      <w:rFonts w:cs="Courier New"/>
    </w:rPr>
  </w:style>
  <w:style w:type="character" w:styleId="ListLabel83" w:customStyle="1">
    <w:name w:val="ListLabel 83"/>
    <w:qFormat/>
    <w:rPr>
      <w:rFonts w:cs="Wingdings"/>
    </w:rPr>
  </w:style>
  <w:style w:type="character" w:styleId="ListLabel84" w:customStyle="1">
    <w:name w:val="ListLabel 84"/>
    <w:qFormat/>
    <w:rPr>
      <w:rFonts w:ascii="Arial" w:hAnsi="Arial" w:cs="Symbol"/>
      <w:sz w:val="22"/>
    </w:rPr>
  </w:style>
  <w:style w:type="character" w:styleId="ListLabel85" w:customStyle="1">
    <w:name w:val="ListLabel 85"/>
    <w:qFormat/>
    <w:rPr>
      <w:rFonts w:cs="Courier New"/>
    </w:rPr>
  </w:style>
  <w:style w:type="character" w:styleId="ListLabel86" w:customStyle="1">
    <w:name w:val="ListLabel 86"/>
    <w:qFormat/>
    <w:rPr>
      <w:rFonts w:cs="Wingdings"/>
    </w:rPr>
  </w:style>
  <w:style w:type="character" w:styleId="ListLabel87" w:customStyle="1">
    <w:name w:val="ListLabel 87"/>
    <w:qFormat/>
    <w:rPr>
      <w:rFonts w:cs="Symbol"/>
    </w:rPr>
  </w:style>
  <w:style w:type="character" w:styleId="ListLabel88" w:customStyle="1">
    <w:name w:val="ListLabel 88"/>
    <w:qFormat/>
    <w:rPr>
      <w:rFonts w:cs="Courier New"/>
    </w:rPr>
  </w:style>
  <w:style w:type="character" w:styleId="ListLabel89" w:customStyle="1">
    <w:name w:val="ListLabel 89"/>
    <w:qFormat/>
    <w:rPr>
      <w:rFonts w:cs="Wingdings"/>
    </w:rPr>
  </w:style>
  <w:style w:type="character" w:styleId="ListLabel90" w:customStyle="1">
    <w:name w:val="ListLabel 90"/>
    <w:qFormat/>
    <w:rPr>
      <w:rFonts w:ascii="Arial" w:hAnsi="Arial"/>
      <w:b w:val="false"/>
      <w:sz w:val="22"/>
    </w:rPr>
  </w:style>
  <w:style w:type="character" w:styleId="ListLabel91" w:customStyle="1">
    <w:name w:val="ListLabel 91"/>
    <w:qFormat/>
    <w:rPr>
      <w:b w:val="false"/>
      <w:i w:val="false"/>
      <w:sz w:val="22"/>
      <w:szCs w:val="24"/>
    </w:rPr>
  </w:style>
  <w:style w:type="character" w:styleId="ListLabel92" w:customStyle="1">
    <w:name w:val="ListLabel 92"/>
    <w:qFormat/>
    <w:rPr>
      <w:rFonts w:ascii="Arial" w:hAnsi="Arial"/>
      <w:b w:val="false"/>
      <w:i w:val="false"/>
      <w:color w:val="00000A"/>
      <w:sz w:val="22"/>
      <w:szCs w:val="24"/>
    </w:rPr>
  </w:style>
  <w:style w:type="character" w:styleId="ListLabel93" w:customStyle="1">
    <w:name w:val="ListLabel 93"/>
    <w:qFormat/>
    <w:rPr>
      <w:rFonts w:ascii="Arial" w:hAnsi="Arial"/>
      <w:b w:val="false"/>
      <w:i w:val="false"/>
      <w:color w:val="00000A"/>
      <w:sz w:val="22"/>
    </w:rPr>
  </w:style>
  <w:style w:type="character" w:styleId="ListLabel94" w:customStyle="1">
    <w:name w:val="ListLabel 94"/>
    <w:qFormat/>
    <w:rPr>
      <w:b w:val="false"/>
    </w:rPr>
  </w:style>
  <w:style w:type="character" w:styleId="ListLabel95" w:customStyle="1">
    <w:name w:val="ListLabel 95"/>
    <w:qFormat/>
    <w:rPr>
      <w:b w:val="false"/>
      <w:sz w:val="24"/>
      <w:szCs w:val="24"/>
    </w:rPr>
  </w:style>
  <w:style w:type="character" w:styleId="ListLabel96" w:customStyle="1">
    <w:name w:val="ListLabel 96"/>
    <w:qFormat/>
    <w:rPr>
      <w:rFonts w:cs="Symbol"/>
    </w:rPr>
  </w:style>
  <w:style w:type="character" w:styleId="ListLabel97" w:customStyle="1">
    <w:name w:val="ListLabel 97"/>
    <w:qFormat/>
    <w:rPr>
      <w:rFonts w:cs="Courier New"/>
    </w:rPr>
  </w:style>
  <w:style w:type="character" w:styleId="ListLabel98" w:customStyle="1">
    <w:name w:val="ListLabel 98"/>
    <w:qFormat/>
    <w:rPr>
      <w:rFonts w:cs="Wingdings"/>
    </w:rPr>
  </w:style>
  <w:style w:type="character" w:styleId="ListLabel99" w:customStyle="1">
    <w:name w:val="ListLabel 99"/>
    <w:qFormat/>
    <w:rPr>
      <w:rFonts w:ascii="Arial" w:hAnsi="Arial" w:cs="Symbol"/>
      <w:sz w:val="22"/>
    </w:rPr>
  </w:style>
  <w:style w:type="character" w:styleId="ListLabel100" w:customStyle="1">
    <w:name w:val="ListLabel 100"/>
    <w:qFormat/>
    <w:rPr>
      <w:rFonts w:cs="Courier New"/>
    </w:rPr>
  </w:style>
  <w:style w:type="character" w:styleId="ListLabel101" w:customStyle="1">
    <w:name w:val="ListLabel 101"/>
    <w:qFormat/>
    <w:rPr>
      <w:rFonts w:cs="Wingdings"/>
    </w:rPr>
  </w:style>
  <w:style w:type="character" w:styleId="ListLabel102" w:customStyle="1">
    <w:name w:val="ListLabel 102"/>
    <w:qFormat/>
    <w:rPr>
      <w:rFonts w:cs="Symbol"/>
    </w:rPr>
  </w:style>
  <w:style w:type="character" w:styleId="ListLabel103" w:customStyle="1">
    <w:name w:val="ListLabel 103"/>
    <w:qFormat/>
    <w:rPr>
      <w:rFonts w:cs="Courier New"/>
    </w:rPr>
  </w:style>
  <w:style w:type="character" w:styleId="ListLabel104" w:customStyle="1">
    <w:name w:val="ListLabel 104"/>
    <w:qFormat/>
    <w:rPr>
      <w:rFonts w:cs="Wingdings"/>
    </w:rPr>
  </w:style>
  <w:style w:type="character" w:styleId="ListLabel105" w:customStyle="1">
    <w:name w:val="ListLabel 105"/>
    <w:qFormat/>
    <w:rPr>
      <w:rFonts w:ascii="Arial" w:hAnsi="Arial"/>
      <w:b w:val="false"/>
      <w:sz w:val="22"/>
    </w:rPr>
  </w:style>
  <w:style w:type="character" w:styleId="ListLabel106" w:customStyle="1">
    <w:name w:val="ListLabel 106"/>
    <w:qFormat/>
    <w:rPr>
      <w:b w:val="false"/>
      <w:i w:val="false"/>
      <w:sz w:val="22"/>
      <w:szCs w:val="24"/>
    </w:rPr>
  </w:style>
  <w:style w:type="character" w:styleId="ListLabel107" w:customStyle="1">
    <w:name w:val="ListLabel 107"/>
    <w:qFormat/>
    <w:rPr>
      <w:rFonts w:ascii="Arial" w:hAnsi="Arial"/>
      <w:b w:val="false"/>
      <w:i w:val="false"/>
      <w:color w:val="00000A"/>
      <w:sz w:val="22"/>
      <w:szCs w:val="24"/>
    </w:rPr>
  </w:style>
  <w:style w:type="character" w:styleId="ListLabel108" w:customStyle="1">
    <w:name w:val="ListLabel 108"/>
    <w:qFormat/>
    <w:rPr>
      <w:rFonts w:ascii="Arial" w:hAnsi="Arial"/>
      <w:b w:val="false"/>
      <w:i w:val="false"/>
      <w:color w:val="00000A"/>
      <w:sz w:val="22"/>
    </w:rPr>
  </w:style>
  <w:style w:type="character" w:styleId="ListLabel109" w:customStyle="1">
    <w:name w:val="ListLabel 109"/>
    <w:qFormat/>
    <w:rPr>
      <w:b w:val="false"/>
    </w:rPr>
  </w:style>
  <w:style w:type="character" w:styleId="ListLabel110" w:customStyle="1">
    <w:name w:val="ListLabel 110"/>
    <w:qFormat/>
    <w:rPr>
      <w:b w:val="false"/>
      <w:sz w:val="24"/>
      <w:szCs w:val="24"/>
    </w:rPr>
  </w:style>
  <w:style w:type="character" w:styleId="ListLabel111" w:customStyle="1">
    <w:name w:val="ListLabel 111"/>
    <w:qFormat/>
    <w:rPr>
      <w:rFonts w:cs="Symbol"/>
    </w:rPr>
  </w:style>
  <w:style w:type="character" w:styleId="ListLabel112" w:customStyle="1">
    <w:name w:val="ListLabel 112"/>
    <w:qFormat/>
    <w:rPr>
      <w:rFonts w:cs="Courier New"/>
    </w:rPr>
  </w:style>
  <w:style w:type="character" w:styleId="ListLabel113" w:customStyle="1">
    <w:name w:val="ListLabel 113"/>
    <w:qFormat/>
    <w:rPr>
      <w:rFonts w:cs="Wingdings"/>
    </w:rPr>
  </w:style>
  <w:style w:type="character" w:styleId="ListLabel114" w:customStyle="1">
    <w:name w:val="ListLabel 114"/>
    <w:qFormat/>
    <w:rPr>
      <w:rFonts w:ascii="Arial" w:hAnsi="Arial" w:cs="Symbol"/>
      <w:sz w:val="22"/>
    </w:rPr>
  </w:style>
  <w:style w:type="character" w:styleId="ListLabel115" w:customStyle="1">
    <w:name w:val="ListLabel 115"/>
    <w:qFormat/>
    <w:rPr>
      <w:rFonts w:cs="Courier New"/>
    </w:rPr>
  </w:style>
  <w:style w:type="character" w:styleId="ListLabel116" w:customStyle="1">
    <w:name w:val="ListLabel 116"/>
    <w:qFormat/>
    <w:rPr>
      <w:rFonts w:cs="Wingdings"/>
    </w:rPr>
  </w:style>
  <w:style w:type="character" w:styleId="ListLabel117" w:customStyle="1">
    <w:name w:val="ListLabel 117"/>
    <w:qFormat/>
    <w:rPr>
      <w:rFonts w:cs="Symbol"/>
    </w:rPr>
  </w:style>
  <w:style w:type="character" w:styleId="ListLabel118" w:customStyle="1">
    <w:name w:val="ListLabel 118"/>
    <w:qFormat/>
    <w:rPr>
      <w:rFonts w:cs="Courier New"/>
    </w:rPr>
  </w:style>
  <w:style w:type="character" w:styleId="ListLabel119" w:customStyle="1">
    <w:name w:val="ListLabel 119"/>
    <w:qFormat/>
    <w:rPr>
      <w:rFonts w:cs="Wingdings"/>
    </w:rPr>
  </w:style>
  <w:style w:type="character" w:styleId="ListLabel120" w:customStyle="1">
    <w:name w:val="ListLabel 120"/>
    <w:qFormat/>
    <w:rPr>
      <w:rFonts w:ascii="Arial" w:hAnsi="Arial"/>
      <w:b w:val="false"/>
      <w:sz w:val="22"/>
    </w:rPr>
  </w:style>
  <w:style w:type="character" w:styleId="ListLabel121" w:customStyle="1">
    <w:name w:val="ListLabel 121"/>
    <w:qFormat/>
    <w:rPr>
      <w:b w:val="false"/>
      <w:i w:val="false"/>
      <w:sz w:val="22"/>
      <w:szCs w:val="24"/>
    </w:rPr>
  </w:style>
  <w:style w:type="character" w:styleId="ListLabel122" w:customStyle="1">
    <w:name w:val="ListLabel 122"/>
    <w:qFormat/>
    <w:rPr>
      <w:rFonts w:ascii="Arial" w:hAnsi="Arial"/>
      <w:b w:val="false"/>
      <w:i w:val="false"/>
      <w:color w:val="00000A"/>
      <w:sz w:val="22"/>
      <w:szCs w:val="24"/>
    </w:rPr>
  </w:style>
  <w:style w:type="character" w:styleId="ListLabel123" w:customStyle="1">
    <w:name w:val="ListLabel 123"/>
    <w:qFormat/>
    <w:rPr>
      <w:rFonts w:ascii="Arial" w:hAnsi="Arial"/>
      <w:b w:val="false"/>
      <w:i w:val="false"/>
      <w:color w:val="00000A"/>
      <w:sz w:val="22"/>
    </w:rPr>
  </w:style>
  <w:style w:type="character" w:styleId="ListLabel124" w:customStyle="1">
    <w:name w:val="ListLabel 124"/>
    <w:qFormat/>
    <w:rPr>
      <w:b w:val="false"/>
    </w:rPr>
  </w:style>
  <w:style w:type="character" w:styleId="ListLabel125" w:customStyle="1">
    <w:name w:val="ListLabel 125"/>
    <w:qFormat/>
    <w:rPr>
      <w:b w:val="false"/>
      <w:sz w:val="24"/>
      <w:szCs w:val="24"/>
    </w:rPr>
  </w:style>
  <w:style w:type="character" w:styleId="ListLabel126" w:customStyle="1">
    <w:name w:val="ListLabel 126"/>
    <w:qFormat/>
    <w:rPr>
      <w:rFonts w:cs="Symbol"/>
    </w:rPr>
  </w:style>
  <w:style w:type="character" w:styleId="ListLabel127" w:customStyle="1">
    <w:name w:val="ListLabel 127"/>
    <w:qFormat/>
    <w:rPr>
      <w:rFonts w:cs="Courier New"/>
    </w:rPr>
  </w:style>
  <w:style w:type="character" w:styleId="ListLabel128" w:customStyle="1">
    <w:name w:val="ListLabel 128"/>
    <w:qFormat/>
    <w:rPr>
      <w:rFonts w:cs="Wingdings"/>
    </w:rPr>
  </w:style>
  <w:style w:type="character" w:styleId="ListLabel129" w:customStyle="1">
    <w:name w:val="ListLabel 129"/>
    <w:qFormat/>
    <w:rPr>
      <w:rFonts w:ascii="Arial" w:hAnsi="Arial" w:cs="Symbol"/>
      <w:sz w:val="22"/>
    </w:rPr>
  </w:style>
  <w:style w:type="character" w:styleId="ListLabel130" w:customStyle="1">
    <w:name w:val="ListLabel 130"/>
    <w:qFormat/>
    <w:rPr>
      <w:rFonts w:cs="Courier New"/>
    </w:rPr>
  </w:style>
  <w:style w:type="character" w:styleId="ListLabel131" w:customStyle="1">
    <w:name w:val="ListLabel 131"/>
    <w:qFormat/>
    <w:rPr>
      <w:rFonts w:cs="Wingdings"/>
    </w:rPr>
  </w:style>
  <w:style w:type="character" w:styleId="ListLabel132" w:customStyle="1">
    <w:name w:val="ListLabel 132"/>
    <w:qFormat/>
    <w:rPr>
      <w:rFonts w:cs="Symbol"/>
    </w:rPr>
  </w:style>
  <w:style w:type="character" w:styleId="ListLabel133" w:customStyle="1">
    <w:name w:val="ListLabel 133"/>
    <w:qFormat/>
    <w:rPr>
      <w:rFonts w:cs="Courier New"/>
    </w:rPr>
  </w:style>
  <w:style w:type="character" w:styleId="ListLabel134" w:customStyle="1">
    <w:name w:val="ListLabel 134"/>
    <w:qFormat/>
    <w:rPr>
      <w:rFonts w:cs="Wingdings"/>
    </w:rPr>
  </w:style>
  <w:style w:type="character" w:styleId="ListLabel135" w:customStyle="1">
    <w:name w:val="ListLabel 135"/>
    <w:qFormat/>
    <w:rPr>
      <w:rFonts w:ascii="Arial" w:hAnsi="Arial"/>
      <w:b w:val="false"/>
      <w:sz w:val="22"/>
    </w:rPr>
  </w:style>
  <w:style w:type="character" w:styleId="ListLabel136" w:customStyle="1">
    <w:name w:val="ListLabel 136"/>
    <w:qFormat/>
    <w:rPr>
      <w:b w:val="false"/>
      <w:i w:val="false"/>
      <w:sz w:val="22"/>
      <w:szCs w:val="24"/>
    </w:rPr>
  </w:style>
  <w:style w:type="character" w:styleId="ListLabel137" w:customStyle="1">
    <w:name w:val="ListLabel 137"/>
    <w:qFormat/>
    <w:rPr>
      <w:rFonts w:ascii="Arial" w:hAnsi="Arial"/>
      <w:b w:val="false"/>
      <w:i w:val="false"/>
      <w:color w:val="00000A"/>
      <w:sz w:val="22"/>
      <w:szCs w:val="24"/>
    </w:rPr>
  </w:style>
  <w:style w:type="character" w:styleId="ListLabel138" w:customStyle="1">
    <w:name w:val="ListLabel 138"/>
    <w:qFormat/>
    <w:rPr>
      <w:rFonts w:ascii="Arial" w:hAnsi="Arial"/>
      <w:b w:val="false"/>
      <w:i w:val="false"/>
      <w:color w:val="00000A"/>
      <w:sz w:val="22"/>
    </w:rPr>
  </w:style>
  <w:style w:type="character" w:styleId="ListLabel139" w:customStyle="1">
    <w:name w:val="ListLabel 139"/>
    <w:qFormat/>
    <w:rPr>
      <w:b w:val="false"/>
    </w:rPr>
  </w:style>
  <w:style w:type="character" w:styleId="ListLabel140" w:customStyle="1">
    <w:name w:val="ListLabel 140"/>
    <w:qFormat/>
    <w:rPr>
      <w:b w:val="false"/>
      <w:sz w:val="24"/>
      <w:szCs w:val="24"/>
    </w:rPr>
  </w:style>
  <w:style w:type="character" w:styleId="ListLabel141" w:customStyle="1">
    <w:name w:val="ListLabel 141"/>
    <w:qFormat/>
    <w:rPr>
      <w:rFonts w:cs="Symbol"/>
    </w:rPr>
  </w:style>
  <w:style w:type="character" w:styleId="ListLabel142" w:customStyle="1">
    <w:name w:val="ListLabel 142"/>
    <w:qFormat/>
    <w:rPr>
      <w:rFonts w:cs="Courier New"/>
    </w:rPr>
  </w:style>
  <w:style w:type="character" w:styleId="ListLabel143" w:customStyle="1">
    <w:name w:val="ListLabel 143"/>
    <w:qFormat/>
    <w:rPr>
      <w:rFonts w:cs="Wingdings"/>
    </w:rPr>
  </w:style>
  <w:style w:type="character" w:styleId="ListLabel144" w:customStyle="1">
    <w:name w:val="ListLabel 144"/>
    <w:qFormat/>
    <w:rPr>
      <w:rFonts w:ascii="Arial" w:hAnsi="Arial" w:cs="Symbol"/>
      <w:sz w:val="22"/>
    </w:rPr>
  </w:style>
  <w:style w:type="character" w:styleId="ListLabel145" w:customStyle="1">
    <w:name w:val="ListLabel 145"/>
    <w:qFormat/>
    <w:rPr>
      <w:rFonts w:cs="Courier New"/>
    </w:rPr>
  </w:style>
  <w:style w:type="character" w:styleId="ListLabel146" w:customStyle="1">
    <w:name w:val="ListLabel 146"/>
    <w:qFormat/>
    <w:rPr>
      <w:rFonts w:cs="Wingdings"/>
    </w:rPr>
  </w:style>
  <w:style w:type="character" w:styleId="ListLabel147" w:customStyle="1">
    <w:name w:val="ListLabel 147"/>
    <w:qFormat/>
    <w:rPr>
      <w:rFonts w:cs="Symbol"/>
    </w:rPr>
  </w:style>
  <w:style w:type="character" w:styleId="ListLabel148" w:customStyle="1">
    <w:name w:val="ListLabel 148"/>
    <w:qFormat/>
    <w:rPr>
      <w:rFonts w:cs="Courier New"/>
    </w:rPr>
  </w:style>
  <w:style w:type="character" w:styleId="ListLabel149" w:customStyle="1">
    <w:name w:val="ListLabel 149"/>
    <w:qFormat/>
    <w:rPr>
      <w:rFonts w:cs="Wingdings"/>
    </w:rPr>
  </w:style>
  <w:style w:type="character" w:styleId="ListLabel150" w:customStyle="1">
    <w:name w:val="ListLabel 150"/>
    <w:qFormat/>
    <w:rPr>
      <w:rFonts w:ascii="Arial" w:hAnsi="Arial"/>
      <w:b w:val="false"/>
      <w:sz w:val="22"/>
    </w:rPr>
  </w:style>
  <w:style w:type="character" w:styleId="ListLabel151" w:customStyle="1">
    <w:name w:val="ListLabel 151"/>
    <w:qFormat/>
    <w:rPr>
      <w:b w:val="false"/>
      <w:i w:val="false"/>
      <w:sz w:val="22"/>
      <w:szCs w:val="24"/>
    </w:rPr>
  </w:style>
  <w:style w:type="character" w:styleId="ListLabel152" w:customStyle="1">
    <w:name w:val="ListLabel 152"/>
    <w:qFormat/>
    <w:rPr>
      <w:rFonts w:ascii="Arial" w:hAnsi="Arial"/>
      <w:b w:val="false"/>
      <w:i w:val="false"/>
      <w:color w:val="00000A"/>
      <w:sz w:val="22"/>
      <w:szCs w:val="24"/>
    </w:rPr>
  </w:style>
  <w:style w:type="character" w:styleId="ListLabel153" w:customStyle="1">
    <w:name w:val="ListLabel 153"/>
    <w:qFormat/>
    <w:rPr>
      <w:rFonts w:ascii="Arial" w:hAnsi="Arial"/>
      <w:b w:val="false"/>
      <w:i w:val="false"/>
      <w:color w:val="00000A"/>
      <w:sz w:val="22"/>
    </w:rPr>
  </w:style>
  <w:style w:type="character" w:styleId="ListLabel154" w:customStyle="1">
    <w:name w:val="ListLabel 154"/>
    <w:qFormat/>
    <w:rPr>
      <w:b w:val="false"/>
    </w:rPr>
  </w:style>
  <w:style w:type="character" w:styleId="ListLabel155" w:customStyle="1">
    <w:name w:val="ListLabel 155"/>
    <w:qFormat/>
    <w:rPr>
      <w:b w:val="false"/>
      <w:sz w:val="24"/>
      <w:szCs w:val="24"/>
    </w:rPr>
  </w:style>
  <w:style w:type="character" w:styleId="ListLabel156" w:customStyle="1">
    <w:name w:val="ListLabel 156"/>
    <w:qFormat/>
    <w:rPr>
      <w:rFonts w:cs="Symbol"/>
    </w:rPr>
  </w:style>
  <w:style w:type="character" w:styleId="ListLabel157" w:customStyle="1">
    <w:name w:val="ListLabel 157"/>
    <w:qFormat/>
    <w:rPr>
      <w:rFonts w:cs="Courier New"/>
    </w:rPr>
  </w:style>
  <w:style w:type="character" w:styleId="ListLabel158" w:customStyle="1">
    <w:name w:val="ListLabel 158"/>
    <w:qFormat/>
    <w:rPr>
      <w:rFonts w:cs="Wingdings"/>
    </w:rPr>
  </w:style>
  <w:style w:type="character" w:styleId="ListLabel159" w:customStyle="1">
    <w:name w:val="ListLabel 159"/>
    <w:qFormat/>
    <w:rPr>
      <w:rFonts w:ascii="Arial" w:hAnsi="Arial" w:cs="Symbol"/>
      <w:sz w:val="22"/>
    </w:rPr>
  </w:style>
  <w:style w:type="character" w:styleId="ListLabel160" w:customStyle="1">
    <w:name w:val="ListLabel 160"/>
    <w:qFormat/>
    <w:rPr>
      <w:rFonts w:cs="Courier New"/>
    </w:rPr>
  </w:style>
  <w:style w:type="character" w:styleId="ListLabel161" w:customStyle="1">
    <w:name w:val="ListLabel 161"/>
    <w:qFormat/>
    <w:rPr>
      <w:rFonts w:cs="Wingdings"/>
    </w:rPr>
  </w:style>
  <w:style w:type="character" w:styleId="ListLabel162" w:customStyle="1">
    <w:name w:val="ListLabel 162"/>
    <w:qFormat/>
    <w:rPr>
      <w:rFonts w:cs="Symbol"/>
    </w:rPr>
  </w:style>
  <w:style w:type="character" w:styleId="ListLabel163" w:customStyle="1">
    <w:name w:val="ListLabel 163"/>
    <w:qFormat/>
    <w:rPr>
      <w:rFonts w:cs="Courier New"/>
    </w:rPr>
  </w:style>
  <w:style w:type="character" w:styleId="ListLabel164" w:customStyle="1">
    <w:name w:val="ListLabel 164"/>
    <w:qFormat/>
    <w:rPr>
      <w:rFonts w:cs="Wingdings"/>
    </w:rPr>
  </w:style>
  <w:style w:type="character" w:styleId="ListLabel165" w:customStyle="1">
    <w:name w:val="ListLabel 165"/>
    <w:qFormat/>
    <w:rPr>
      <w:rFonts w:ascii="Arial" w:hAnsi="Arial"/>
      <w:b w:val="false"/>
      <w:sz w:val="22"/>
    </w:rPr>
  </w:style>
  <w:style w:type="character" w:styleId="ListLabel166">
    <w:name w:val="ListLabel 166"/>
    <w:qFormat/>
    <w:rPr>
      <w:b w:val="false"/>
      <w:i w:val="false"/>
      <w:sz w:val="22"/>
      <w:szCs w:val="24"/>
    </w:rPr>
  </w:style>
  <w:style w:type="character" w:styleId="ListLabel167">
    <w:name w:val="ListLabel 167"/>
    <w:qFormat/>
    <w:rPr>
      <w:rFonts w:ascii="Arial" w:hAnsi="Arial"/>
      <w:b w:val="false"/>
      <w:i w:val="false"/>
      <w:color w:val="00000A"/>
      <w:sz w:val="22"/>
      <w:szCs w:val="24"/>
    </w:rPr>
  </w:style>
  <w:style w:type="character" w:styleId="ListLabel168">
    <w:name w:val="ListLabel 168"/>
    <w:qFormat/>
    <w:rPr>
      <w:rFonts w:ascii="Arial" w:hAnsi="Arial"/>
      <w:b w:val="false"/>
      <w:i w:val="false"/>
      <w:color w:val="00000A"/>
      <w:sz w:val="22"/>
    </w:rPr>
  </w:style>
  <w:style w:type="character" w:styleId="ListLabel169">
    <w:name w:val="ListLabel 169"/>
    <w:qFormat/>
    <w:rPr>
      <w:b w:val="false"/>
    </w:rPr>
  </w:style>
  <w:style w:type="character" w:styleId="ListLabel170">
    <w:name w:val="ListLabel 170"/>
    <w:qFormat/>
    <w:rPr>
      <w:b w:val="false"/>
      <w:sz w:val="24"/>
      <w:szCs w:val="24"/>
    </w:rPr>
  </w:style>
  <w:style w:type="character" w:styleId="ListLabel171">
    <w:name w:val="ListLabel 171"/>
    <w:qFormat/>
    <w:rPr>
      <w:rFonts w:cs="Symbol"/>
    </w:rPr>
  </w:style>
  <w:style w:type="character" w:styleId="ListLabel172">
    <w:name w:val="ListLabel 172"/>
    <w:qFormat/>
    <w:rPr>
      <w:rFonts w:cs="Courier New"/>
    </w:rPr>
  </w:style>
  <w:style w:type="character" w:styleId="ListLabel173">
    <w:name w:val="ListLabel 173"/>
    <w:qFormat/>
    <w:rPr>
      <w:rFonts w:cs="Wingdings"/>
    </w:rPr>
  </w:style>
  <w:style w:type="character" w:styleId="ListLabel174">
    <w:name w:val="ListLabel 174"/>
    <w:qFormat/>
    <w:rPr>
      <w:rFonts w:ascii="Arial" w:hAnsi="Arial" w:cs="Symbol"/>
      <w:sz w:val="22"/>
    </w:rPr>
  </w:style>
  <w:style w:type="character" w:styleId="ListLabel175">
    <w:name w:val="ListLabel 175"/>
    <w:qFormat/>
    <w:rPr>
      <w:rFonts w:cs="Courier New"/>
    </w:rPr>
  </w:style>
  <w:style w:type="character" w:styleId="ListLabel176">
    <w:name w:val="ListLabel 176"/>
    <w:qFormat/>
    <w:rPr>
      <w:rFonts w:cs="Wingdings"/>
    </w:rPr>
  </w:style>
  <w:style w:type="character" w:styleId="ListLabel177">
    <w:name w:val="ListLabel 177"/>
    <w:qFormat/>
    <w:rPr>
      <w:rFonts w:cs="Symbol"/>
    </w:rPr>
  </w:style>
  <w:style w:type="character" w:styleId="ListLabel178">
    <w:name w:val="ListLabel 178"/>
    <w:qFormat/>
    <w:rPr>
      <w:rFonts w:cs="Courier New"/>
    </w:rPr>
  </w:style>
  <w:style w:type="character" w:styleId="ListLabel179">
    <w:name w:val="ListLabel 179"/>
    <w:qFormat/>
    <w:rPr>
      <w:rFonts w:cs="Wingdings"/>
    </w:rPr>
  </w:style>
  <w:style w:type="character" w:styleId="ListLabel180">
    <w:name w:val="ListLabel 180"/>
    <w:qFormat/>
    <w:rPr>
      <w:rFonts w:ascii="Arial" w:hAnsi="Arial"/>
      <w:b w:val="false"/>
      <w:sz w:val="22"/>
    </w:rPr>
  </w:style>
  <w:style w:type="character" w:styleId="ListLabel181">
    <w:name w:val="ListLabel 181"/>
    <w:qFormat/>
    <w:rPr>
      <w:b w:val="false"/>
      <w:i w:val="false"/>
      <w:sz w:val="22"/>
      <w:szCs w:val="24"/>
    </w:rPr>
  </w:style>
  <w:style w:type="character" w:styleId="ListLabel182">
    <w:name w:val="ListLabel 182"/>
    <w:qFormat/>
    <w:rPr>
      <w:rFonts w:ascii="Arial" w:hAnsi="Arial"/>
      <w:b w:val="false"/>
      <w:i w:val="false"/>
      <w:color w:val="00000A"/>
      <w:sz w:val="22"/>
      <w:szCs w:val="24"/>
    </w:rPr>
  </w:style>
  <w:style w:type="character" w:styleId="ListLabel183">
    <w:name w:val="ListLabel 183"/>
    <w:qFormat/>
    <w:rPr>
      <w:rFonts w:ascii="Arial" w:hAnsi="Arial"/>
      <w:b w:val="false"/>
      <w:i w:val="false"/>
      <w:color w:val="00000A"/>
      <w:sz w:val="22"/>
    </w:rPr>
  </w:style>
  <w:style w:type="character" w:styleId="ListLabel184">
    <w:name w:val="ListLabel 184"/>
    <w:qFormat/>
    <w:rPr>
      <w:b w:val="false"/>
    </w:rPr>
  </w:style>
  <w:style w:type="character" w:styleId="ListLabel185">
    <w:name w:val="ListLabel 185"/>
    <w:qFormat/>
    <w:rPr>
      <w:b w:val="false"/>
      <w:sz w:val="24"/>
      <w:szCs w:val="24"/>
    </w:rPr>
  </w:style>
  <w:style w:type="character" w:styleId="ListLabel186">
    <w:name w:val="ListLabel 186"/>
    <w:qFormat/>
    <w:rPr>
      <w:rFonts w:cs="Symbol"/>
    </w:rPr>
  </w:style>
  <w:style w:type="character" w:styleId="ListLabel187">
    <w:name w:val="ListLabel 187"/>
    <w:qFormat/>
    <w:rPr>
      <w:rFonts w:cs="Courier New"/>
    </w:rPr>
  </w:style>
  <w:style w:type="character" w:styleId="ListLabel188">
    <w:name w:val="ListLabel 188"/>
    <w:qFormat/>
    <w:rPr>
      <w:rFonts w:cs="Wingdings"/>
    </w:rPr>
  </w:style>
  <w:style w:type="character" w:styleId="ListLabel189">
    <w:name w:val="ListLabel 189"/>
    <w:qFormat/>
    <w:rPr>
      <w:rFonts w:ascii="Arial" w:hAnsi="Arial" w:cs="Symbol"/>
      <w:sz w:val="22"/>
    </w:rPr>
  </w:style>
  <w:style w:type="character" w:styleId="ListLabel190">
    <w:name w:val="ListLabel 190"/>
    <w:qFormat/>
    <w:rPr>
      <w:rFonts w:cs="Courier New"/>
    </w:rPr>
  </w:style>
  <w:style w:type="character" w:styleId="ListLabel191">
    <w:name w:val="ListLabel 191"/>
    <w:qFormat/>
    <w:rPr>
      <w:rFonts w:cs="Wingdings"/>
    </w:rPr>
  </w:style>
  <w:style w:type="character" w:styleId="ListLabel192">
    <w:name w:val="ListLabel 192"/>
    <w:qFormat/>
    <w:rPr>
      <w:rFonts w:cs="Symbol"/>
    </w:rPr>
  </w:style>
  <w:style w:type="character" w:styleId="ListLabel193">
    <w:name w:val="ListLabel 193"/>
    <w:qFormat/>
    <w:rPr>
      <w:rFonts w:cs="Courier New"/>
    </w:rPr>
  </w:style>
  <w:style w:type="character" w:styleId="ListLabel194">
    <w:name w:val="ListLabel 194"/>
    <w:qFormat/>
    <w:rPr>
      <w:rFonts w:cs="Wingdings"/>
    </w:rPr>
  </w:style>
  <w:style w:type="character" w:styleId="ListLabel195">
    <w:name w:val="ListLabel 195"/>
    <w:qFormat/>
    <w:rPr>
      <w:rFonts w:ascii="Arial" w:hAnsi="Arial"/>
      <w:b w:val="false"/>
      <w:sz w:val="22"/>
    </w:rPr>
  </w:style>
  <w:style w:type="character" w:styleId="ListLabel196">
    <w:name w:val="ListLabel 196"/>
    <w:qFormat/>
    <w:rPr>
      <w:b w:val="false"/>
      <w:i w:val="false"/>
      <w:sz w:val="22"/>
      <w:szCs w:val="24"/>
    </w:rPr>
  </w:style>
  <w:style w:type="character" w:styleId="ListLabel197">
    <w:name w:val="ListLabel 197"/>
    <w:qFormat/>
    <w:rPr>
      <w:rFonts w:ascii="Arial" w:hAnsi="Arial"/>
      <w:b w:val="false"/>
      <w:i w:val="false"/>
      <w:color w:val="00000A"/>
      <w:sz w:val="22"/>
      <w:szCs w:val="24"/>
    </w:rPr>
  </w:style>
  <w:style w:type="character" w:styleId="ListLabel198">
    <w:name w:val="ListLabel 198"/>
    <w:qFormat/>
    <w:rPr>
      <w:rFonts w:ascii="Arial" w:hAnsi="Arial"/>
      <w:b w:val="false"/>
      <w:i w:val="false"/>
      <w:color w:val="00000A"/>
      <w:sz w:val="22"/>
    </w:rPr>
  </w:style>
  <w:style w:type="character" w:styleId="ListLabel199">
    <w:name w:val="ListLabel 199"/>
    <w:qFormat/>
    <w:rPr>
      <w:b w:val="false"/>
    </w:rPr>
  </w:style>
  <w:style w:type="character" w:styleId="ListLabel200">
    <w:name w:val="ListLabel 200"/>
    <w:qFormat/>
    <w:rPr>
      <w:b w:val="false"/>
      <w:sz w:val="24"/>
      <w:szCs w:val="24"/>
    </w:rPr>
  </w:style>
  <w:style w:type="character" w:styleId="ListLabel201">
    <w:name w:val="ListLabel 201"/>
    <w:qFormat/>
    <w:rPr>
      <w:rFonts w:cs="Symbol"/>
    </w:rPr>
  </w:style>
  <w:style w:type="character" w:styleId="ListLabel202">
    <w:name w:val="ListLabel 202"/>
    <w:qFormat/>
    <w:rPr>
      <w:rFonts w:cs="Courier New"/>
    </w:rPr>
  </w:style>
  <w:style w:type="character" w:styleId="ListLabel203">
    <w:name w:val="ListLabel 203"/>
    <w:qFormat/>
    <w:rPr>
      <w:rFonts w:cs="Wingdings"/>
    </w:rPr>
  </w:style>
  <w:style w:type="character" w:styleId="ListLabel204">
    <w:name w:val="ListLabel 204"/>
    <w:qFormat/>
    <w:rPr>
      <w:rFonts w:ascii="Arial" w:hAnsi="Arial" w:cs="Symbol"/>
      <w:sz w:val="22"/>
    </w:rPr>
  </w:style>
  <w:style w:type="character" w:styleId="ListLabel205">
    <w:name w:val="ListLabel 205"/>
    <w:qFormat/>
    <w:rPr>
      <w:rFonts w:cs="Courier New"/>
    </w:rPr>
  </w:style>
  <w:style w:type="character" w:styleId="ListLabel206">
    <w:name w:val="ListLabel 206"/>
    <w:qFormat/>
    <w:rPr>
      <w:rFonts w:cs="Wingdings"/>
    </w:rPr>
  </w:style>
  <w:style w:type="character" w:styleId="ListLabel207">
    <w:name w:val="ListLabel 207"/>
    <w:qFormat/>
    <w:rPr>
      <w:rFonts w:cs="Symbol"/>
    </w:rPr>
  </w:style>
  <w:style w:type="character" w:styleId="ListLabel208">
    <w:name w:val="ListLabel 208"/>
    <w:qFormat/>
    <w:rPr>
      <w:rFonts w:cs="Courier New"/>
    </w:rPr>
  </w:style>
  <w:style w:type="character" w:styleId="ListLabel209">
    <w:name w:val="ListLabel 209"/>
    <w:qFormat/>
    <w:rPr>
      <w:rFonts w:cs="Wingdings"/>
    </w:rPr>
  </w:style>
  <w:style w:type="character" w:styleId="ListLabel210">
    <w:name w:val="ListLabel 210"/>
    <w:qFormat/>
    <w:rPr>
      <w:rFonts w:ascii="Arial" w:hAnsi="Arial"/>
      <w:b w:val="false"/>
      <w:sz w:val="22"/>
    </w:rPr>
  </w:style>
  <w:style w:type="character" w:styleId="ListLabel211">
    <w:name w:val="ListLabel 211"/>
    <w:qFormat/>
    <w:rPr>
      <w:b w:val="false"/>
      <w:i w:val="false"/>
      <w:sz w:val="22"/>
      <w:szCs w:val="24"/>
    </w:rPr>
  </w:style>
  <w:style w:type="character" w:styleId="ListLabel212">
    <w:name w:val="ListLabel 212"/>
    <w:qFormat/>
    <w:rPr>
      <w:rFonts w:ascii="Arial" w:hAnsi="Arial"/>
      <w:b w:val="false"/>
      <w:i w:val="false"/>
      <w:color w:val="00000A"/>
      <w:sz w:val="22"/>
      <w:szCs w:val="24"/>
    </w:rPr>
  </w:style>
  <w:style w:type="character" w:styleId="ListLabel213">
    <w:name w:val="ListLabel 213"/>
    <w:qFormat/>
    <w:rPr>
      <w:rFonts w:ascii="Arial" w:hAnsi="Arial"/>
      <w:b w:val="false"/>
      <w:i w:val="false"/>
      <w:color w:val="00000A"/>
      <w:sz w:val="22"/>
    </w:rPr>
  </w:style>
  <w:style w:type="character" w:styleId="ListLabel214">
    <w:name w:val="ListLabel 214"/>
    <w:qFormat/>
    <w:rPr>
      <w:b w:val="false"/>
    </w:rPr>
  </w:style>
  <w:style w:type="character" w:styleId="ListLabel215">
    <w:name w:val="ListLabel 215"/>
    <w:qFormat/>
    <w:rPr>
      <w:b w:val="false"/>
      <w:sz w:val="24"/>
      <w:szCs w:val="24"/>
    </w:rPr>
  </w:style>
  <w:style w:type="character" w:styleId="ListLabel216">
    <w:name w:val="ListLabel 216"/>
    <w:qFormat/>
    <w:rPr>
      <w:rFonts w:cs="Symbol"/>
    </w:rPr>
  </w:style>
  <w:style w:type="character" w:styleId="ListLabel217">
    <w:name w:val="ListLabel 217"/>
    <w:qFormat/>
    <w:rPr>
      <w:rFonts w:cs="Courier New"/>
    </w:rPr>
  </w:style>
  <w:style w:type="character" w:styleId="ListLabel218">
    <w:name w:val="ListLabel 218"/>
    <w:qFormat/>
    <w:rPr>
      <w:rFonts w:cs="Wingdings"/>
    </w:rPr>
  </w:style>
  <w:style w:type="character" w:styleId="ListLabel219">
    <w:name w:val="ListLabel 219"/>
    <w:qFormat/>
    <w:rPr>
      <w:rFonts w:ascii="Arial" w:hAnsi="Arial" w:cs="Symbol"/>
      <w:sz w:val="22"/>
    </w:rPr>
  </w:style>
  <w:style w:type="character" w:styleId="ListLabel220">
    <w:name w:val="ListLabel 220"/>
    <w:qFormat/>
    <w:rPr>
      <w:rFonts w:cs="Courier New"/>
    </w:rPr>
  </w:style>
  <w:style w:type="character" w:styleId="ListLabel221">
    <w:name w:val="ListLabel 221"/>
    <w:qFormat/>
    <w:rPr>
      <w:rFonts w:cs="Wingdings"/>
    </w:rPr>
  </w:style>
  <w:style w:type="character" w:styleId="ListLabel222">
    <w:name w:val="ListLabel 222"/>
    <w:qFormat/>
    <w:rPr>
      <w:rFonts w:cs="Symbol"/>
    </w:rPr>
  </w:style>
  <w:style w:type="character" w:styleId="ListLabel223">
    <w:name w:val="ListLabel 223"/>
    <w:qFormat/>
    <w:rPr>
      <w:rFonts w:cs="Courier New"/>
    </w:rPr>
  </w:style>
  <w:style w:type="character" w:styleId="ListLabel224">
    <w:name w:val="ListLabel 224"/>
    <w:qFormat/>
    <w:rPr>
      <w:rFonts w:cs="Wingdings"/>
    </w:rPr>
  </w:style>
  <w:style w:type="character" w:styleId="ListLabel225">
    <w:name w:val="ListLabel 225"/>
    <w:qFormat/>
    <w:rPr>
      <w:rFonts w:ascii="Arial" w:hAnsi="Arial"/>
      <w:b w:val="false"/>
      <w:sz w:val="22"/>
    </w:rPr>
  </w:style>
  <w:style w:type="character" w:styleId="ListLabel226">
    <w:name w:val="ListLabel 226"/>
    <w:qFormat/>
    <w:rPr>
      <w:b w:val="false"/>
      <w:i w:val="false"/>
      <w:sz w:val="22"/>
      <w:szCs w:val="24"/>
    </w:rPr>
  </w:style>
  <w:style w:type="character" w:styleId="ListLabel227">
    <w:name w:val="ListLabel 227"/>
    <w:qFormat/>
    <w:rPr>
      <w:rFonts w:ascii="Arial" w:hAnsi="Arial"/>
      <w:b w:val="false"/>
      <w:i w:val="false"/>
      <w:color w:val="00000A"/>
      <w:sz w:val="22"/>
      <w:szCs w:val="24"/>
    </w:rPr>
  </w:style>
  <w:style w:type="character" w:styleId="ListLabel228">
    <w:name w:val="ListLabel 228"/>
    <w:qFormat/>
    <w:rPr>
      <w:rFonts w:ascii="Arial" w:hAnsi="Arial"/>
      <w:b w:val="false"/>
      <w:i w:val="false"/>
      <w:color w:val="00000A"/>
      <w:sz w:val="22"/>
    </w:rPr>
  </w:style>
  <w:style w:type="character" w:styleId="ListLabel229">
    <w:name w:val="ListLabel 229"/>
    <w:qFormat/>
    <w:rPr>
      <w:b w:val="false"/>
    </w:rPr>
  </w:style>
  <w:style w:type="character" w:styleId="ListLabel230">
    <w:name w:val="ListLabel 230"/>
    <w:qFormat/>
    <w:rPr>
      <w:b w:val="false"/>
      <w:sz w:val="24"/>
      <w:szCs w:val="24"/>
    </w:rPr>
  </w:style>
  <w:style w:type="character" w:styleId="ListLabel231">
    <w:name w:val="ListLabel 231"/>
    <w:qFormat/>
    <w:rPr>
      <w:rFonts w:cs="Symbol"/>
    </w:rPr>
  </w:style>
  <w:style w:type="character" w:styleId="ListLabel232">
    <w:name w:val="ListLabel 232"/>
    <w:qFormat/>
    <w:rPr>
      <w:rFonts w:cs="Courier New"/>
    </w:rPr>
  </w:style>
  <w:style w:type="character" w:styleId="ListLabel233">
    <w:name w:val="ListLabel 233"/>
    <w:qFormat/>
    <w:rPr>
      <w:rFonts w:cs="Wingdings"/>
    </w:rPr>
  </w:style>
  <w:style w:type="character" w:styleId="ListLabel234">
    <w:name w:val="ListLabel 234"/>
    <w:qFormat/>
    <w:rPr>
      <w:rFonts w:ascii="Arial" w:hAnsi="Arial" w:cs="Symbol"/>
      <w:sz w:val="22"/>
    </w:rPr>
  </w:style>
  <w:style w:type="character" w:styleId="ListLabel235">
    <w:name w:val="ListLabel 235"/>
    <w:qFormat/>
    <w:rPr>
      <w:rFonts w:cs="Courier New"/>
    </w:rPr>
  </w:style>
  <w:style w:type="character" w:styleId="ListLabel236">
    <w:name w:val="ListLabel 236"/>
    <w:qFormat/>
    <w:rPr>
      <w:rFonts w:cs="Wingdings"/>
    </w:rPr>
  </w:style>
  <w:style w:type="character" w:styleId="ListLabel237">
    <w:name w:val="ListLabel 237"/>
    <w:qFormat/>
    <w:rPr>
      <w:rFonts w:cs="Symbol"/>
    </w:rPr>
  </w:style>
  <w:style w:type="character" w:styleId="ListLabel238">
    <w:name w:val="ListLabel 238"/>
    <w:qFormat/>
    <w:rPr>
      <w:rFonts w:cs="Courier New"/>
    </w:rPr>
  </w:style>
  <w:style w:type="character" w:styleId="ListLabel239">
    <w:name w:val="ListLabel 239"/>
    <w:qFormat/>
    <w:rPr>
      <w:rFonts w:cs="Wingdings"/>
    </w:rPr>
  </w:style>
  <w:style w:type="character" w:styleId="ListLabel240">
    <w:name w:val="ListLabel 240"/>
    <w:qFormat/>
    <w:rPr>
      <w:rFonts w:ascii="Arial" w:hAnsi="Arial"/>
      <w:b w:val="false"/>
      <w:sz w:val="22"/>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link w:val="CorpodetextoChar"/>
    <w:rsid w:val="00bc6584"/>
    <w:pPr>
      <w:spacing w:before="0" w:after="12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link w:val="TtuloChar"/>
    <w:uiPriority w:val="10"/>
    <w:qFormat/>
    <w:rsid w:val="00bc6584"/>
    <w:pPr>
      <w:pBdr>
        <w:bottom w:val="single" w:sz="8" w:space="4" w:color="4F81BD"/>
      </w:pBdr>
      <w:spacing w:before="0" w:after="300"/>
      <w:contextualSpacing/>
    </w:pPr>
    <w:rPr>
      <w:rFonts w:ascii="Cambria" w:hAnsi="Cambria" w:eastAsia="" w:cs="" w:asciiTheme="majorHAnsi" w:cstheme="majorBidi" w:eastAsiaTheme="majorEastAsia" w:hAnsiTheme="majorHAnsi"/>
      <w:color w:val="17365D" w:themeColor="text2" w:themeShade="bf"/>
      <w:spacing w:val="5"/>
      <w:sz w:val="52"/>
      <w:szCs w:val="52"/>
    </w:rPr>
  </w:style>
  <w:style w:type="paragraph" w:styleId="Caption">
    <w:name w:val="caption"/>
    <w:basedOn w:val="Normal"/>
    <w:qFormat/>
    <w:pPr>
      <w:suppressLineNumbers/>
      <w:spacing w:before="120" w:after="120"/>
    </w:pPr>
    <w:rPr>
      <w:rFonts w:cs="Mangal"/>
      <w:i/>
      <w:iCs/>
    </w:rPr>
  </w:style>
  <w:style w:type="paragraph" w:styleId="Cabealho">
    <w:name w:val="Header"/>
    <w:basedOn w:val="Normal"/>
    <w:link w:val="CabealhoChar"/>
    <w:uiPriority w:val="99"/>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Rodap">
    <w:name w:val="Footer"/>
    <w:basedOn w:val="Normal"/>
    <w:link w:val="RodapChar"/>
    <w:unhideWhenUsed/>
    <w:rsid w:val="00bc6584"/>
    <w:pPr>
      <w:widowControl/>
      <w:tabs>
        <w:tab w:val="center" w:pos="4252" w:leader="none"/>
        <w:tab w:val="right" w:pos="8504" w:leader="none"/>
      </w:tabs>
      <w:suppressAutoHyphens w:val="false"/>
    </w:pPr>
    <w:rPr>
      <w:rFonts w:ascii="Calibri" w:hAnsi="Calibri" w:eastAsia="Calibri" w:cs="" w:asciiTheme="minorHAnsi" w:cstheme="minorBidi" w:eastAsiaTheme="minorHAnsi" w:hAnsiTheme="minorHAnsi"/>
      <w:sz w:val="22"/>
      <w:szCs w:val="22"/>
    </w:rPr>
  </w:style>
  <w:style w:type="paragraph" w:styleId="NoSpacing">
    <w:name w:val="No Spacing"/>
    <w:qFormat/>
    <w:rsid w:val="00bc6584"/>
    <w:pPr>
      <w:widowControl/>
      <w:bidi w:val="0"/>
      <w:jc w:val="left"/>
    </w:pPr>
    <w:rPr>
      <w:rFonts w:ascii="Calibri" w:hAnsi="Calibri" w:eastAsia="Calibri" w:cs=""/>
      <w:color w:val="00000A"/>
      <w:sz w:val="24"/>
      <w:szCs w:val="22"/>
      <w:lang w:val="pt-BR" w:eastAsia="en-US" w:bidi="ar-SA"/>
    </w:rPr>
  </w:style>
  <w:style w:type="paragraph" w:styleId="BalloonText">
    <w:name w:val="Balloon Text"/>
    <w:basedOn w:val="Normal"/>
    <w:link w:val="TextodebaloChar"/>
    <w:uiPriority w:val="99"/>
    <w:semiHidden/>
    <w:unhideWhenUsed/>
    <w:qFormat/>
    <w:rsid w:val="00bc6584"/>
    <w:pPr/>
    <w:rPr>
      <w:rFonts w:ascii="Tahoma" w:hAnsi="Tahoma" w:cs="Tahoma"/>
      <w:sz w:val="16"/>
      <w:szCs w:val="16"/>
    </w:rPr>
  </w:style>
  <w:style w:type="paragraph" w:styleId="BodyTextIndent2">
    <w:name w:val="Body Text Indent 2"/>
    <w:basedOn w:val="Normal"/>
    <w:link w:val="Recuodecorpodetexto2Char"/>
    <w:qFormat/>
    <w:rsid w:val="00515a8f"/>
    <w:pPr>
      <w:spacing w:lineRule="auto" w:line="480" w:before="0" w:after="120"/>
      <w:ind w:left="283" w:hanging="0"/>
    </w:pPr>
    <w:rPr/>
  </w:style>
  <w:style w:type="paragraph" w:styleId="ListParagraph">
    <w:name w:val="List Paragraph"/>
    <w:basedOn w:val="Normal"/>
    <w:uiPriority w:val="34"/>
    <w:qFormat/>
    <w:rsid w:val="00515a8f"/>
    <w:pPr>
      <w:ind w:left="708" w:hanging="0"/>
    </w:pPr>
    <w:rPr/>
  </w:style>
  <w:style w:type="paragraph" w:styleId="BodyText3">
    <w:name w:val="Body Text 3"/>
    <w:basedOn w:val="Normal"/>
    <w:link w:val="Corpodetexto3Char"/>
    <w:qFormat/>
    <w:rsid w:val="00c85edf"/>
    <w:pPr>
      <w:widowControl/>
      <w:suppressAutoHyphens w:val="false"/>
      <w:spacing w:before="0" w:after="120"/>
      <w:textAlignment w:val="baseline"/>
    </w:pPr>
    <w:rPr>
      <w:rFonts w:eastAsia="Times New Roman"/>
      <w:sz w:val="16"/>
      <w:szCs w:val="16"/>
      <w:lang w:eastAsia="pt-BR"/>
    </w:rPr>
  </w:style>
  <w:style w:type="paragraph" w:styleId="PT" w:customStyle="1">
    <w:name w:val="PT"/>
    <w:basedOn w:val="Normal"/>
    <w:qFormat/>
    <w:rsid w:val="00c85edf"/>
    <w:pPr>
      <w:widowControl/>
      <w:suppressAutoHyphens w:val="false"/>
      <w:spacing w:lineRule="atLeast" w:line="360"/>
      <w:jc w:val="both"/>
      <w:textAlignment w:val="baseline"/>
    </w:pPr>
    <w:rPr>
      <w:rFonts w:ascii="Arial" w:hAnsi="Arial" w:eastAsia="Times New Roman"/>
      <w:b/>
      <w:spacing w:val="30"/>
      <w:szCs w:val="20"/>
      <w:lang w:eastAsia="pt-BR"/>
    </w:rPr>
  </w:style>
  <w:style w:type="paragraph" w:styleId="Style13" w:customStyle="1">
    <w:name w:val="Style 1"/>
    <w:uiPriority w:val="99"/>
    <w:qFormat/>
    <w:rsid w:val="00c85edf"/>
    <w:pPr>
      <w:widowControl w:val="false"/>
      <w:bidi w:val="0"/>
      <w:jc w:val="left"/>
    </w:pPr>
    <w:rPr>
      <w:rFonts w:ascii="Times New Roman" w:hAnsi="Times New Roman" w:eastAsia="Times New Roman" w:cs="Times New Roman"/>
      <w:color w:val="00000A"/>
      <w:sz w:val="24"/>
      <w:szCs w:val="20"/>
      <w:lang w:val="pt-BR" w:eastAsia="pt-BR" w:bidi="ar-SA"/>
    </w:rPr>
  </w:style>
  <w:style w:type="paragraph" w:styleId="Contedodatabela" w:customStyle="1">
    <w:name w:val="Conteúdo da tabela"/>
    <w:basedOn w:val="Normal"/>
    <w:qFormat/>
    <w:pPr/>
    <w:rPr/>
  </w:style>
  <w:style w:type="paragraph" w:styleId="Ttulodetabela" w:customStyle="1">
    <w:name w:val="Título de tabela"/>
    <w:basedOn w:val="Contedodatabela"/>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uiPriority w:val="59"/>
    <w:rsid w:val="00cb4eab"/>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06270-EEB1-467F-918A-B12958BC0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Application>LibreOffice/5.2.4.2$Windows_x86 LibreOffice_project/3d5603e1122f0f102b62521720ab13a38a4e0eb0</Application>
  <Pages>11</Pages>
  <Words>3704</Words>
  <Characters>21456</Characters>
  <CharactersWithSpaces>25015</CharactersWithSpaces>
  <Paragraphs>179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2017-06-22T14:11:00Z</dcterms:created>
  <dc:creator>Usuário</dc:creator>
  <dc:description/>
  <dc:language>pt-BR</dc:language>
  <cp:lastModifiedBy/>
  <cp:lastPrinted>2018-06-14T11:19:20Z</cp:lastPrinted>
  <dcterms:modified xsi:type="dcterms:W3CDTF">2018-06-14T11:19:26Z</dcterms:modified>
  <cp:revision>26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